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EF4A3" w14:textId="77777777" w:rsidR="00E90E49" w:rsidRPr="00327997" w:rsidRDefault="00770766" w:rsidP="00327997">
      <w:pPr>
        <w:pStyle w:val="3GPPHeader"/>
        <w:rPr>
          <w:highlight w:val="yellow"/>
        </w:rPr>
      </w:pPr>
      <w:r w:rsidRPr="00770766">
        <w:t>3GPP TSG RAN WG1 Meeting #88bis</w:t>
      </w:r>
      <w:r w:rsidR="00E90E49" w:rsidRPr="00327997">
        <w:tab/>
      </w:r>
      <w:r w:rsidRPr="00770766">
        <w:t>R1-170431</w:t>
      </w:r>
      <w:r w:rsidR="00E478B5">
        <w:t>3</w:t>
      </w:r>
    </w:p>
    <w:p w14:paraId="21FC0608" w14:textId="77777777" w:rsidR="00E90E49" w:rsidRDefault="00770766" w:rsidP="00327997">
      <w:pPr>
        <w:pStyle w:val="3GPPHeader"/>
      </w:pPr>
      <w:r w:rsidRPr="00770766">
        <w:t>Spokane, USA 3rd - 7th April 2017</w:t>
      </w:r>
    </w:p>
    <w:p w14:paraId="5C801B46" w14:textId="77777777" w:rsidR="00E90E49" w:rsidRPr="00CE0424" w:rsidRDefault="00E90E49" w:rsidP="00357380">
      <w:pPr>
        <w:pStyle w:val="3GPPHeader"/>
      </w:pPr>
    </w:p>
    <w:p w14:paraId="39A33960" w14:textId="77777777" w:rsidR="00E90E49" w:rsidRPr="00327997" w:rsidRDefault="003D3C45" w:rsidP="00327997">
      <w:pPr>
        <w:pStyle w:val="3GPPHeader"/>
      </w:pPr>
      <w:r w:rsidRPr="00327997">
        <w:t>Source:</w:t>
      </w:r>
      <w:r w:rsidR="00E90E49" w:rsidRPr="00327997">
        <w:tab/>
      </w:r>
      <w:r w:rsidR="00F64C2B" w:rsidRPr="00327997">
        <w:t>Ericsson</w:t>
      </w:r>
    </w:p>
    <w:p w14:paraId="45DCF5C3" w14:textId="77777777" w:rsidR="00E90E49" w:rsidRPr="00327997" w:rsidRDefault="003D3C45" w:rsidP="00327997">
      <w:pPr>
        <w:pStyle w:val="3GPPHeader"/>
      </w:pPr>
      <w:r w:rsidRPr="00327997">
        <w:t>Title:</w:t>
      </w:r>
      <w:r w:rsidR="00E90E49" w:rsidRPr="00327997">
        <w:tab/>
      </w:r>
      <w:r w:rsidR="00E478B5" w:rsidRPr="00E478B5">
        <w:t>Design Considerations for Smaller LDPC Codes</w:t>
      </w:r>
    </w:p>
    <w:p w14:paraId="48CD042B" w14:textId="77777777" w:rsidR="00952A24" w:rsidRPr="00327997" w:rsidRDefault="00952A24" w:rsidP="00327997">
      <w:pPr>
        <w:pStyle w:val="3GPPHeader"/>
      </w:pPr>
      <w:r w:rsidRPr="00327997">
        <w:t>Agenda Item:</w:t>
      </w:r>
      <w:r w:rsidRPr="00327997">
        <w:tab/>
      </w:r>
      <w:r w:rsidR="00E478B5">
        <w:t>8.1.4.1.2</w:t>
      </w:r>
    </w:p>
    <w:p w14:paraId="7C25C6A6"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5042D720" w14:textId="77777777" w:rsidR="00E90E49" w:rsidRPr="00CE0424" w:rsidRDefault="007F75D5" w:rsidP="00CE0424">
      <w:pPr>
        <w:pStyle w:val="Heading1"/>
      </w:pPr>
      <w:r>
        <w:t>Introduction</w:t>
      </w:r>
    </w:p>
    <w:p w14:paraId="2F43B42D" w14:textId="4F95CE8B" w:rsidR="00BF7642" w:rsidRPr="00E9149C" w:rsidRDefault="00DC2045" w:rsidP="00BF7642">
      <w:pPr>
        <w:pStyle w:val="BodyText"/>
      </w:pPr>
      <w:r>
        <w:t>In RAN1#88</w:t>
      </w:r>
      <w:r w:rsidR="00BF7642">
        <w:t xml:space="preserve">, the following agreement was </w:t>
      </w:r>
      <w:r w:rsidR="000E6240">
        <w:t>reached</w:t>
      </w:r>
      <w:r w:rsidR="0056061F">
        <w:t xml:space="preserve"> </w:t>
      </w:r>
      <w:r w:rsidR="00A92F21">
        <w:fldChar w:fldCharType="begin"/>
      </w:r>
      <w:r w:rsidR="00A92F21">
        <w:instrText xml:space="preserve"> REF _Ref476919366 \r \h </w:instrText>
      </w:r>
      <w:r w:rsidR="00A92F21">
        <w:fldChar w:fldCharType="separate"/>
      </w:r>
      <w:r w:rsidR="00BE76BE">
        <w:t>[1]</w:t>
      </w:r>
      <w:r w:rsidR="00A92F21">
        <w:fldChar w:fldCharType="end"/>
      </w:r>
      <w:r w:rsidR="00BF7642">
        <w:t>:</w:t>
      </w:r>
    </w:p>
    <w:p w14:paraId="5363FC1C" w14:textId="77777777" w:rsidR="00BF7642" w:rsidRDefault="00BF7642" w:rsidP="00BF7642">
      <w:pPr>
        <w:pStyle w:val="BodyText"/>
      </w:pPr>
      <w:r>
        <w:rPr>
          <w:noProof/>
          <w:lang w:val="en-US"/>
        </w:rPr>
        <mc:AlternateContent>
          <mc:Choice Requires="wps">
            <w:drawing>
              <wp:inline distT="0" distB="0" distL="0" distR="0" wp14:anchorId="384BDFF4" wp14:editId="51DB672F">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0EC2B8" w14:textId="77777777" w:rsidR="005A6C52" w:rsidRPr="00DC2045" w:rsidRDefault="005A6C52" w:rsidP="00DC2045">
                            <w:pPr>
                              <w:overflowPunct/>
                              <w:autoSpaceDE/>
                              <w:autoSpaceDN/>
                              <w:adjustRightInd/>
                              <w:spacing w:after="0"/>
                              <w:ind w:left="1440" w:hanging="1440"/>
                              <w:jc w:val="left"/>
                              <w:textAlignment w:val="auto"/>
                              <w:rPr>
                                <w:rFonts w:ascii="Times" w:eastAsia="MS Mincho" w:hAnsi="Times"/>
                                <w:b/>
                                <w:szCs w:val="24"/>
                                <w:highlight w:val="green"/>
                                <w:u w:val="single"/>
                                <w:lang w:eastAsia="ja-JP"/>
                              </w:rPr>
                            </w:pPr>
                            <w:r w:rsidRPr="00DC2045">
                              <w:rPr>
                                <w:rFonts w:ascii="Times" w:eastAsia="MS Mincho" w:hAnsi="Times"/>
                                <w:b/>
                                <w:szCs w:val="24"/>
                                <w:highlight w:val="green"/>
                                <w:u w:val="single"/>
                                <w:lang w:eastAsia="ja-JP"/>
                              </w:rPr>
                              <w:t xml:space="preserve">Agreement: </w:t>
                            </w:r>
                          </w:p>
                          <w:p w14:paraId="2550FB5D" w14:textId="77777777" w:rsidR="005A6C52" w:rsidRDefault="005A6C52" w:rsidP="00DC2045">
                            <w:pPr>
                              <w:numPr>
                                <w:ilvl w:val="0"/>
                                <w:numId w:val="20"/>
                              </w:numPr>
                              <w:overflowPunct/>
                              <w:autoSpaceDE/>
                              <w:autoSpaceDN/>
                              <w:adjustRightInd/>
                              <w:spacing w:after="0"/>
                              <w:jc w:val="left"/>
                              <w:textAlignment w:val="auto"/>
                              <w:rPr>
                                <w:rFonts w:ascii="Times" w:eastAsia="MS Mincho" w:hAnsi="Times"/>
                                <w:szCs w:val="24"/>
                                <w:lang w:eastAsia="ja-JP"/>
                              </w:rPr>
                            </w:pPr>
                            <w:r w:rsidRPr="00DC2045">
                              <w:rPr>
                                <w:rFonts w:ascii="Times" w:eastAsia="MS Mincho" w:hAnsi="Times"/>
                                <w:szCs w:val="24"/>
                                <w:lang w:eastAsia="ja-JP"/>
                              </w:rPr>
                              <w:t>Number of base graphs for eMBB is FFS between 1 and 2</w:t>
                            </w:r>
                          </w:p>
                          <w:p w14:paraId="2EC7F58E" w14:textId="77777777" w:rsidR="005A6C52" w:rsidRPr="00DC2045" w:rsidRDefault="005A6C52" w:rsidP="00DC2045">
                            <w:pPr>
                              <w:numPr>
                                <w:ilvl w:val="0"/>
                                <w:numId w:val="20"/>
                              </w:numPr>
                              <w:overflowPunct/>
                              <w:autoSpaceDE/>
                              <w:autoSpaceDN/>
                              <w:adjustRightInd/>
                              <w:spacing w:after="0"/>
                              <w:jc w:val="left"/>
                              <w:textAlignment w:val="auto"/>
                              <w:rPr>
                                <w:rFonts w:ascii="Times" w:eastAsia="MS Mincho" w:hAnsi="Times"/>
                                <w:szCs w:val="24"/>
                                <w:lang w:eastAsia="ja-JP"/>
                              </w:rPr>
                            </w:pPr>
                            <w:r w:rsidRPr="00DC2045">
                              <w:rPr>
                                <w:rFonts w:ascii="Times" w:eastAsia="MS Mincho" w:hAnsi="Times"/>
                                <w:szCs w:val="24"/>
                                <w:lang w:eastAsia="ja-JP"/>
                              </w:rPr>
                              <w:t>Evaluate the potential gains from 2 base-graphs compared to a single base-graph until RAN1#88bis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84BDFF4"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40EC2B8" w14:textId="77777777" w:rsidR="005A6C52" w:rsidRPr="00DC2045" w:rsidRDefault="005A6C52" w:rsidP="00DC2045">
                      <w:pPr>
                        <w:overflowPunct/>
                        <w:autoSpaceDE/>
                        <w:autoSpaceDN/>
                        <w:adjustRightInd/>
                        <w:spacing w:after="0"/>
                        <w:ind w:left="1440" w:hanging="1440"/>
                        <w:jc w:val="left"/>
                        <w:textAlignment w:val="auto"/>
                        <w:rPr>
                          <w:rFonts w:ascii="Times" w:eastAsia="MS Mincho" w:hAnsi="Times"/>
                          <w:b/>
                          <w:szCs w:val="24"/>
                          <w:highlight w:val="green"/>
                          <w:u w:val="single"/>
                          <w:lang w:eastAsia="ja-JP"/>
                        </w:rPr>
                      </w:pPr>
                      <w:r w:rsidRPr="00DC2045">
                        <w:rPr>
                          <w:rFonts w:ascii="Times" w:eastAsia="MS Mincho" w:hAnsi="Times"/>
                          <w:b/>
                          <w:szCs w:val="24"/>
                          <w:highlight w:val="green"/>
                          <w:u w:val="single"/>
                          <w:lang w:eastAsia="ja-JP"/>
                        </w:rPr>
                        <w:t xml:space="preserve">Agreement: </w:t>
                      </w:r>
                    </w:p>
                    <w:p w14:paraId="2550FB5D" w14:textId="77777777" w:rsidR="005A6C52" w:rsidRDefault="005A6C52" w:rsidP="00DC2045">
                      <w:pPr>
                        <w:numPr>
                          <w:ilvl w:val="0"/>
                          <w:numId w:val="20"/>
                        </w:numPr>
                        <w:overflowPunct/>
                        <w:autoSpaceDE/>
                        <w:autoSpaceDN/>
                        <w:adjustRightInd/>
                        <w:spacing w:after="0"/>
                        <w:jc w:val="left"/>
                        <w:textAlignment w:val="auto"/>
                        <w:rPr>
                          <w:rFonts w:ascii="Times" w:eastAsia="MS Mincho" w:hAnsi="Times"/>
                          <w:szCs w:val="24"/>
                          <w:lang w:eastAsia="ja-JP"/>
                        </w:rPr>
                      </w:pPr>
                      <w:r w:rsidRPr="00DC2045">
                        <w:rPr>
                          <w:rFonts w:ascii="Times" w:eastAsia="MS Mincho" w:hAnsi="Times"/>
                          <w:szCs w:val="24"/>
                          <w:lang w:eastAsia="ja-JP"/>
                        </w:rPr>
                        <w:t xml:space="preserve">Number of base graphs for </w:t>
                      </w:r>
                      <w:proofErr w:type="spellStart"/>
                      <w:r w:rsidRPr="00DC2045">
                        <w:rPr>
                          <w:rFonts w:ascii="Times" w:eastAsia="MS Mincho" w:hAnsi="Times"/>
                          <w:szCs w:val="24"/>
                          <w:lang w:eastAsia="ja-JP"/>
                        </w:rPr>
                        <w:t>eMBB</w:t>
                      </w:r>
                      <w:proofErr w:type="spellEnd"/>
                      <w:r w:rsidRPr="00DC2045">
                        <w:rPr>
                          <w:rFonts w:ascii="Times" w:eastAsia="MS Mincho" w:hAnsi="Times"/>
                          <w:szCs w:val="24"/>
                          <w:lang w:eastAsia="ja-JP"/>
                        </w:rPr>
                        <w:t xml:space="preserve"> is FFS between 1 and 2</w:t>
                      </w:r>
                    </w:p>
                    <w:p w14:paraId="2EC7F58E" w14:textId="77777777" w:rsidR="005A6C52" w:rsidRPr="00DC2045" w:rsidRDefault="005A6C52" w:rsidP="00DC2045">
                      <w:pPr>
                        <w:numPr>
                          <w:ilvl w:val="0"/>
                          <w:numId w:val="20"/>
                        </w:numPr>
                        <w:overflowPunct/>
                        <w:autoSpaceDE/>
                        <w:autoSpaceDN/>
                        <w:adjustRightInd/>
                        <w:spacing w:after="0"/>
                        <w:jc w:val="left"/>
                        <w:textAlignment w:val="auto"/>
                        <w:rPr>
                          <w:rFonts w:ascii="Times" w:eastAsia="MS Mincho" w:hAnsi="Times"/>
                          <w:szCs w:val="24"/>
                          <w:lang w:eastAsia="ja-JP"/>
                        </w:rPr>
                      </w:pPr>
                      <w:r w:rsidRPr="00DC2045">
                        <w:rPr>
                          <w:rFonts w:ascii="Times" w:eastAsia="MS Mincho" w:hAnsi="Times"/>
                          <w:szCs w:val="24"/>
                          <w:lang w:eastAsia="ja-JP"/>
                        </w:rPr>
                        <w:t>Evaluate the potential gains from 2 base-graphs compared to a single base-graph until RAN1#88bis</w:t>
                      </w:r>
                    </w:p>
                  </w:txbxContent>
                </v:textbox>
                <w10:anchorlock/>
              </v:shape>
            </w:pict>
          </mc:Fallback>
        </mc:AlternateContent>
      </w:r>
    </w:p>
    <w:p w14:paraId="6CE9C57E" w14:textId="77777777" w:rsidR="005B3A32" w:rsidRDefault="00A92F21" w:rsidP="00BF7642">
      <w:pPr>
        <w:pStyle w:val="BodyText"/>
      </w:pPr>
      <w:r>
        <w:t>In this contribution, we analyse the benefits of having two base graphs</w:t>
      </w:r>
      <w:r w:rsidR="004D26F7">
        <w:t xml:space="preserve"> from the perspective of the gNB</w:t>
      </w:r>
      <w:r>
        <w:t>.</w:t>
      </w:r>
      <w:r w:rsidR="004D26F7">
        <w:t xml:space="preserve"> </w:t>
      </w:r>
    </w:p>
    <w:p w14:paraId="3DCBAF3D" w14:textId="3E7A17A4" w:rsidR="00477768" w:rsidRPr="00CE0424" w:rsidRDefault="004D26F7" w:rsidP="00BF7642">
      <w:pPr>
        <w:pStyle w:val="BodyText"/>
      </w:pPr>
      <w:r>
        <w:t xml:space="preserve">From a UE’s perspective, it will always be decoding of the peak throughput case that is the most demanding and the case for which hardware must be provisioned. However, the gNB must have hardware provisioned </w:t>
      </w:r>
      <w:r w:rsidR="00A0408A">
        <w:t xml:space="preserve">for simultaneous decoding of </w:t>
      </w:r>
      <w:r w:rsidR="0041287E">
        <w:t>codewords from</w:t>
      </w:r>
      <w:r w:rsidR="006E64C5">
        <w:t xml:space="preserve"> many</w:t>
      </w:r>
      <w:r w:rsidR="0041287E">
        <w:t xml:space="preserve"> UEs.</w:t>
      </w:r>
    </w:p>
    <w:p w14:paraId="0D93B0EC" w14:textId="2D9CC8DC" w:rsidR="004929F1" w:rsidRDefault="009E7672" w:rsidP="004929F1">
      <w:pPr>
        <w:pStyle w:val="Heading1"/>
      </w:pPr>
      <w:bookmarkStart w:id="0" w:name="_Ref478041804"/>
      <w:r>
        <w:t>Benefits</w:t>
      </w:r>
      <w:r w:rsidR="004929F1">
        <w:t xml:space="preserve"> of using two base graphs</w:t>
      </w:r>
      <w:bookmarkEnd w:id="0"/>
    </w:p>
    <w:p w14:paraId="5E53F184" w14:textId="18A13996" w:rsidR="00E86C59" w:rsidRDefault="00E86C59" w:rsidP="00E86C59">
      <w:r>
        <w:t xml:space="preserve">Assuming that hardware needed for processing each edge of the protograph is provisioned for a lift size of </w:t>
      </w:r>
      <m:oMath>
        <m:sSub>
          <m:sSubPr>
            <m:ctrlPr>
              <w:rPr>
                <w:rFonts w:ascii="Cambria Math" w:hAnsi="Cambria Math"/>
                <w:i/>
              </w:rPr>
            </m:ctrlPr>
          </m:sSubPr>
          <m:e>
            <m:r>
              <w:rPr>
                <w:rFonts w:ascii="Cambria Math" w:hAnsi="Cambria Math"/>
              </w:rPr>
              <m:t>Z</m:t>
            </m:r>
          </m:e>
          <m:sub>
            <m:r>
              <w:rPr>
                <w:rFonts w:ascii="Cambria Math" w:hAnsi="Cambria Math"/>
              </w:rPr>
              <m:t>max</m:t>
            </m:r>
          </m:sub>
        </m:sSub>
      </m:oMath>
      <w:r>
        <w:t>, the utilization of the hardware will decrease with</w:t>
      </w:r>
      <w:r>
        <w:rPr>
          <w:color w:val="4F81BD" w:themeColor="accent1"/>
        </w:rPr>
        <w:t xml:space="preserve"> </w:t>
      </w:r>
      <w:r>
        <w:t xml:space="preserve">decreasing block length and lift size </w:t>
      </w:r>
      <m:oMath>
        <m:r>
          <w:rPr>
            <w:rFonts w:ascii="Cambria Math" w:hAnsi="Cambria Math"/>
          </w:rPr>
          <m:t>Z</m:t>
        </m:r>
      </m:oMath>
      <w:r>
        <w:t xml:space="preserve"> and we get the utilization ratio </w:t>
      </w:r>
      <m:oMath>
        <m:r>
          <w:rPr>
            <w:rFonts w:ascii="Cambria Math" w:hAnsi="Cambria Math"/>
          </w:rPr>
          <m:t>Z/</m:t>
        </m:r>
        <m:sSub>
          <m:sSubPr>
            <m:ctrlPr>
              <w:rPr>
                <w:rFonts w:ascii="Cambria Math" w:hAnsi="Cambria Math"/>
                <w:i/>
              </w:rPr>
            </m:ctrlPr>
          </m:sSubPr>
          <m:e>
            <m:r>
              <w:rPr>
                <w:rFonts w:ascii="Cambria Math" w:hAnsi="Cambria Math"/>
              </w:rPr>
              <m:t>Z</m:t>
            </m:r>
          </m:e>
          <m:sub>
            <m:r>
              <w:rPr>
                <w:rFonts w:ascii="Cambria Math" w:hAnsi="Cambria Math"/>
              </w:rPr>
              <m:t>max</m:t>
            </m:r>
          </m:sub>
        </m:sSub>
      </m:oMath>
      <w:r>
        <w:t>. For a UE that has the same latency requirement for short as well as long code blocks, running the decoder with a low utilization ratio for a short codeword has no or little impact. For a gNB, however, decoder hardware must be provisioned so that codewords f</w:t>
      </w:r>
      <w:r w:rsidR="006E64C5">
        <w:t xml:space="preserve">rom </w:t>
      </w:r>
      <w:r w:rsidR="00640EA2">
        <w:t>all active</w:t>
      </w:r>
      <w:r w:rsidR="006E64C5">
        <w:t xml:space="preserve"> UEs can be decoded while fulfilling </w:t>
      </w:r>
      <w:r>
        <w:t>the latency requirement for decoding of one codeword</w:t>
      </w:r>
      <w:r w:rsidR="00273F05">
        <w:t>.</w:t>
      </w:r>
      <w:r w:rsidR="00640EA2">
        <w:t xml:space="preserve"> In the following discussion we focus on the requirement of decoding data from N UEs in a slot.</w:t>
      </w:r>
    </w:p>
    <w:p w14:paraId="7391EE08" w14:textId="77777777" w:rsidR="00273F05" w:rsidRDefault="00E86C59" w:rsidP="003A0E41">
      <w:r>
        <w:t>By allowing a second base graph with a lower number of information columns in the base</w:t>
      </w:r>
      <w:r w:rsidR="0094156F">
        <w:t xml:space="preserve"> graph, the utilization ratio</w:t>
      </w:r>
      <w:r>
        <w:t xml:space="preserve"> for short codewords can be significantly </w:t>
      </w:r>
      <w:r w:rsidR="00066FAB">
        <w:t>improved. Furthermore</w:t>
      </w:r>
      <w:r w:rsidR="0094156F">
        <w:t>, the second base graph has</w:t>
      </w:r>
      <w:r w:rsidR="00293681">
        <w:t xml:space="preserve"> fewer edges and thereby require fewer cloc</w:t>
      </w:r>
      <w:r w:rsidR="0094156F">
        <w:t>k cycles per decoder iteration</w:t>
      </w:r>
      <w:r w:rsidR="00A01EF0">
        <w:t>,</w:t>
      </w:r>
      <w:r w:rsidR="00BE76BE">
        <w:t xml:space="preserve"> if we assume </w:t>
      </w:r>
      <w:r w:rsidR="00A01EF0">
        <w:t>a block parallel decoder where the decoding latency can be approximated as proportional to the number of edges</w:t>
      </w:r>
      <w:r w:rsidR="0094156F">
        <w:t xml:space="preserve">. </w:t>
      </w:r>
      <w:r w:rsidR="00066FAB">
        <w:t>If the decoding latency is reduced, this in turn implies that fewer instances of decoder hardware may be provisioned in the gNB.</w:t>
      </w:r>
    </w:p>
    <w:p w14:paraId="3E018D4A" w14:textId="175039A0" w:rsidR="009E7672" w:rsidRDefault="0094156F" w:rsidP="003A0E41">
      <w:r>
        <w:t>To compare the number of clock cycles needed for decoding one iteration of base graph 1 for a specific rate with the number of clock cycles needed for decoding one iteration of base graph 2 for the same rate, we define the edge ratio as</w:t>
      </w:r>
    </w:p>
    <w:p w14:paraId="6CDA7BD3" w14:textId="35CE8CA0" w:rsidR="0094156F" w:rsidRDefault="0094156F" w:rsidP="003A0E41">
      <m:oMathPara>
        <m:oMath>
          <m:r>
            <w:rPr>
              <w:rFonts w:ascii="Cambria Math" w:hAnsi="Cambria Math"/>
            </w:rPr>
            <m:t xml:space="preserve">Edge ratio= </m:t>
          </m:r>
          <m:f>
            <m:fPr>
              <m:ctrlPr>
                <w:rPr>
                  <w:rFonts w:ascii="Cambria Math" w:hAnsi="Cambria Math"/>
                  <w:i/>
                </w:rPr>
              </m:ctrlPr>
            </m:fPr>
            <m:num>
              <m:r>
                <w:rPr>
                  <w:rFonts w:ascii="Cambria Math" w:hAnsi="Cambria Math"/>
                </w:rPr>
                <m:t>Number of edges in base graph 2 for rate R</m:t>
              </m:r>
            </m:num>
            <m:den>
              <m:r>
                <w:rPr>
                  <w:rFonts w:ascii="Cambria Math" w:hAnsi="Cambria Math"/>
                </w:rPr>
                <m:t>Number of edges in base graph 1 for rate R</m:t>
              </m:r>
            </m:den>
          </m:f>
        </m:oMath>
      </m:oMathPara>
    </w:p>
    <w:p w14:paraId="5DA09598" w14:textId="0CCC096E" w:rsidR="00E61C01" w:rsidRDefault="008F4A7C" w:rsidP="003A0E41">
      <w:r>
        <w:t>The edge ratio give</w:t>
      </w:r>
      <w:r w:rsidR="00273F05">
        <w:t>s an estimate of the latency reduction that can be achieved</w:t>
      </w:r>
      <w:r>
        <w:t xml:space="preserve"> for short block lengths</w:t>
      </w:r>
      <w:r w:rsidR="00273F05">
        <w:t>, for information block lengths K where</w:t>
      </w:r>
      <w:r>
        <w:t xml:space="preserve"> base graph 2 may be used instead of base graph 1.</w:t>
      </w:r>
    </w:p>
    <w:p w14:paraId="2913CD24" w14:textId="297DDE11" w:rsidR="00666379" w:rsidRDefault="00293681" w:rsidP="003A0E41">
      <w:r>
        <w:t>As an e</w:t>
      </w:r>
      <w:r w:rsidR="0094156F">
        <w:t>xample, we consider the edge ratio for</w:t>
      </w:r>
      <w:r>
        <w:t xml:space="preserve"> the two base graphs presented in </w:t>
      </w:r>
      <w:r w:rsidR="00E6324F">
        <w:fldChar w:fldCharType="begin"/>
      </w:r>
      <w:r w:rsidR="00E6324F">
        <w:instrText xml:space="preserve"> REF _Ref477959693 \r \h </w:instrText>
      </w:r>
      <w:r w:rsidR="00E6324F">
        <w:fldChar w:fldCharType="separate"/>
      </w:r>
      <w:r w:rsidR="00BE76BE">
        <w:t>[3]</w:t>
      </w:r>
      <w:r w:rsidR="00E6324F">
        <w:fldChar w:fldCharType="end"/>
      </w:r>
      <w:r>
        <w:t>.</w:t>
      </w:r>
      <w:r w:rsidR="00C104E7">
        <w:t xml:space="preserve"> The parameters of </w:t>
      </w:r>
      <w:r w:rsidR="00BD3DC9">
        <w:t xml:space="preserve">the base graphs are shown </w:t>
      </w:r>
      <w:r w:rsidR="00BD3DC9" w:rsidRPr="00BD3DC9">
        <w:t xml:space="preserve">in </w:t>
      </w:r>
      <w:r w:rsidR="00BD3DC9" w:rsidRPr="00BD3DC9">
        <w:fldChar w:fldCharType="begin"/>
      </w:r>
      <w:r w:rsidR="00BD3DC9" w:rsidRPr="00BD3DC9">
        <w:instrText xml:space="preserve"> REF _Ref473983257 \h </w:instrText>
      </w:r>
      <w:r w:rsidR="00BD3DC9">
        <w:instrText xml:space="preserve"> \* MERGEFORMAT </w:instrText>
      </w:r>
      <w:r w:rsidR="00BD3DC9" w:rsidRPr="00BD3DC9">
        <w:fldChar w:fldCharType="separate"/>
      </w:r>
      <w:r w:rsidR="00BE76BE" w:rsidRPr="00BE76BE">
        <w:t xml:space="preserve">Table </w:t>
      </w:r>
      <w:r w:rsidR="00BE76BE" w:rsidRPr="00BE76BE">
        <w:rPr>
          <w:noProof/>
        </w:rPr>
        <w:t>1</w:t>
      </w:r>
      <w:r w:rsidR="00BD3DC9" w:rsidRPr="00BD3DC9">
        <w:fldChar w:fldCharType="end"/>
      </w:r>
      <w:r w:rsidR="00C104E7">
        <w:t>.</w:t>
      </w:r>
      <w:r w:rsidR="00900213">
        <w:t xml:space="preserve"> B</w:t>
      </w:r>
      <w:r w:rsidR="00273F05">
        <w:t>ase graph 2</w:t>
      </w:r>
      <w:r w:rsidR="00900213">
        <w:t xml:space="preserve"> has a maximum of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=10</m:t>
        </m:r>
      </m:oMath>
      <w:r w:rsidR="00900213">
        <w:t xml:space="preserve"> information variable nodes in the base graph, and the </w:t>
      </w:r>
      <m:oMath>
        <m:sSub>
          <m:sSubPr>
            <m:ctrlPr>
              <w:rPr>
                <w:rFonts w:ascii="Cambria Math" w:hAnsi="Cambria Math"/>
                <w:i/>
              </w:rPr>
            </m:ctrlPr>
          </m:sSubPr>
          <m:e>
            <m:r>
              <w:rPr>
                <w:rFonts w:ascii="Cambria Math" w:hAnsi="Cambria Math"/>
              </w:rPr>
              <m:t>K</m:t>
            </m:r>
          </m:e>
          <m:sub>
            <m:r>
              <w:rPr>
                <w:rFonts w:ascii="Cambria Math" w:hAnsi="Cambria Math"/>
              </w:rPr>
              <m:t>max,2</m:t>
            </m:r>
          </m:sub>
        </m:sSub>
      </m:oMath>
      <w:r w:rsidR="00900213">
        <w:t xml:space="preserve"> we can reach with </w:t>
      </w:r>
      <m:oMath>
        <m:r>
          <w:rPr>
            <w:rFonts w:ascii="Cambria Math" w:hAnsi="Cambria Math"/>
          </w:rPr>
          <m:t>Z=</m:t>
        </m:r>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=256</m:t>
        </m:r>
      </m:oMath>
      <w:r w:rsidR="00900213">
        <w:t xml:space="preserve"> is </w:t>
      </w:r>
      <m:oMath>
        <m:sSub>
          <m:sSubPr>
            <m:ctrlPr>
              <w:rPr>
                <w:rFonts w:ascii="Cambria Math" w:hAnsi="Cambria Math"/>
                <w:i/>
              </w:rPr>
            </m:ctrlPr>
          </m:sSubPr>
          <m:e>
            <m:r>
              <w:rPr>
                <w:rFonts w:ascii="Cambria Math" w:hAnsi="Cambria Math"/>
              </w:rPr>
              <m:t>K</m:t>
            </m:r>
          </m:e>
          <m:sub>
            <m:r>
              <w:rPr>
                <w:rFonts w:ascii="Cambria Math" w:hAnsi="Cambria Math"/>
              </w:rPr>
              <m:t>max,2</m:t>
            </m:r>
          </m:sub>
        </m:sSub>
      </m:oMath>
      <w:r w:rsidR="00B2536A">
        <w:t xml:space="preserve"> =</w:t>
      </w:r>
      <w:r w:rsidR="00900213">
        <w:t xml:space="preserve">2560. Any </w:t>
      </w:r>
      <m:oMath>
        <m:r>
          <w:rPr>
            <w:rFonts w:ascii="Cambria Math" w:hAnsi="Cambria Math"/>
          </w:rPr>
          <m:t>K≤2560</m:t>
        </m:r>
      </m:oMath>
      <w:r w:rsidR="00864EB4">
        <w:t xml:space="preserve"> can </w:t>
      </w:r>
      <w:r w:rsidR="00C57D0A">
        <w:t xml:space="preserve">thus </w:t>
      </w:r>
      <w:r w:rsidR="00864EB4">
        <w:t>be encoded using base</w:t>
      </w:r>
      <w:r w:rsidR="00C57D0A">
        <w:t xml:space="preserve"> graph 2, resulting in</w:t>
      </w:r>
      <w:r w:rsidR="00864EB4">
        <w:t xml:space="preserve"> fewer edges in the base graph and higher utilization ratio</w:t>
      </w:r>
      <w:r w:rsidR="00C57D0A">
        <w:t xml:space="preserve"> than if base graph 1 had been used</w:t>
      </w:r>
      <w:r w:rsidR="00864EB4">
        <w:t>.</w:t>
      </w:r>
    </w:p>
    <w:p w14:paraId="03F4304B" w14:textId="129D1C04" w:rsidR="00B54CF0" w:rsidRDefault="00B54CF0" w:rsidP="003A0E41"/>
    <w:p w14:paraId="304870FD" w14:textId="3E8A7EBF" w:rsidR="009E7672" w:rsidRDefault="009E7672" w:rsidP="003A0E41"/>
    <w:p w14:paraId="622D3196" w14:textId="77777777" w:rsidR="009E7672" w:rsidRDefault="009E7672" w:rsidP="003A0E41"/>
    <w:p w14:paraId="068240C8" w14:textId="0C96FD3A" w:rsidR="001C3BAB" w:rsidRPr="00AE6E63" w:rsidRDefault="001C3BAB" w:rsidP="001C3BAB">
      <w:pPr>
        <w:pStyle w:val="Caption"/>
        <w:keepNext/>
        <w:rPr>
          <w:rFonts w:ascii="Arial" w:hAnsi="Arial" w:cs="Arial"/>
        </w:rPr>
      </w:pPr>
      <w:bookmarkStart w:id="1" w:name="_Ref473983257"/>
      <w:r w:rsidRPr="003F5094">
        <w:rPr>
          <w:rFonts w:ascii="Arial" w:hAnsi="Arial" w:cs="Arial"/>
        </w:rPr>
        <w:lastRenderedPageBreak/>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BE76BE">
        <w:rPr>
          <w:rFonts w:ascii="Arial" w:hAnsi="Arial" w:cs="Arial"/>
          <w:noProof/>
        </w:rPr>
        <w:t>1</w:t>
      </w:r>
      <w:r w:rsidRPr="003F5094">
        <w:rPr>
          <w:rFonts w:ascii="Arial" w:hAnsi="Arial" w:cs="Arial"/>
        </w:rPr>
        <w:fldChar w:fldCharType="end"/>
      </w:r>
      <w:bookmarkEnd w:id="1"/>
      <w:r w:rsidRPr="003F5094">
        <w:rPr>
          <w:rFonts w:ascii="Arial" w:hAnsi="Arial" w:cs="Arial"/>
        </w:rPr>
        <w:tab/>
      </w:r>
      <w:r>
        <w:rPr>
          <w:rFonts w:ascii="Arial" w:hAnsi="Arial" w:cs="Arial"/>
        </w:rPr>
        <w:t>LDPC</w:t>
      </w:r>
      <w:r w:rsidRPr="003F5094">
        <w:rPr>
          <w:rFonts w:ascii="Arial" w:hAnsi="Arial" w:cs="Arial"/>
        </w:rPr>
        <w:t xml:space="preserve"> code parameters</w:t>
      </w:r>
      <w:r w:rsidR="00AE6E63">
        <w:rPr>
          <w:rFonts w:ascii="Arial" w:hAnsi="Arial" w:cs="Arial"/>
        </w:rPr>
        <w:t xml:space="preserve"> for codes presented in </w:t>
      </w:r>
      <w:r w:rsidR="00AE6E63" w:rsidRPr="00AE6E63">
        <w:rPr>
          <w:rFonts w:ascii="Arial" w:hAnsi="Arial" w:cs="Arial"/>
        </w:rPr>
        <w:fldChar w:fldCharType="begin"/>
      </w:r>
      <w:r w:rsidR="00AE6E63" w:rsidRPr="00AE6E63">
        <w:rPr>
          <w:rFonts w:ascii="Arial" w:hAnsi="Arial" w:cs="Arial"/>
        </w:rPr>
        <w:instrText xml:space="preserve"> REF _Ref477959693 \r \h </w:instrText>
      </w:r>
      <w:r w:rsidR="00AE6E63">
        <w:rPr>
          <w:rFonts w:ascii="Arial" w:hAnsi="Arial" w:cs="Arial"/>
        </w:rPr>
        <w:instrText xml:space="preserve"> \* MERGEFORMAT </w:instrText>
      </w:r>
      <w:r w:rsidR="00AE6E63" w:rsidRPr="00AE6E63">
        <w:rPr>
          <w:rFonts w:ascii="Arial" w:hAnsi="Arial" w:cs="Arial"/>
        </w:rPr>
      </w:r>
      <w:r w:rsidR="00AE6E63" w:rsidRPr="00AE6E63">
        <w:rPr>
          <w:rFonts w:ascii="Arial" w:hAnsi="Arial" w:cs="Arial"/>
        </w:rPr>
        <w:fldChar w:fldCharType="separate"/>
      </w:r>
      <w:r w:rsidR="00BE76BE">
        <w:rPr>
          <w:rFonts w:ascii="Arial" w:hAnsi="Arial" w:cs="Arial"/>
        </w:rPr>
        <w:t>[3]</w:t>
      </w:r>
      <w:r w:rsidR="00AE6E63" w:rsidRPr="00AE6E63">
        <w:rPr>
          <w:rFonts w:ascii="Arial" w:hAnsi="Arial" w:cs="Arial"/>
        </w:rPr>
        <w:fldChar w:fldCharType="end"/>
      </w:r>
    </w:p>
    <w:tbl>
      <w:tblPr>
        <w:tblpPr w:leftFromText="141" w:rightFromText="141" w:vertAnchor="text" w:tblpXSpec="center"/>
        <w:tblW w:w="9204" w:type="dxa"/>
        <w:jc w:val="center"/>
        <w:tblLayout w:type="fixed"/>
        <w:tblCellMar>
          <w:left w:w="0" w:type="dxa"/>
          <w:right w:w="0" w:type="dxa"/>
        </w:tblCellMar>
        <w:tblLook w:val="04A0" w:firstRow="1" w:lastRow="0" w:firstColumn="1" w:lastColumn="0" w:noHBand="0" w:noVBand="1"/>
      </w:tblPr>
      <w:tblGrid>
        <w:gridCol w:w="1510"/>
        <w:gridCol w:w="704"/>
        <w:gridCol w:w="1088"/>
        <w:gridCol w:w="709"/>
        <w:gridCol w:w="708"/>
        <w:gridCol w:w="1650"/>
        <w:gridCol w:w="1418"/>
        <w:gridCol w:w="1417"/>
      </w:tblGrid>
      <w:tr w:rsidR="00BD3DC9" w:rsidRPr="003F5094" w14:paraId="41AE4D60" w14:textId="6A2299FE" w:rsidTr="001C72C2">
        <w:trPr>
          <w:trHeight w:val="474"/>
          <w:jc w:val="center"/>
        </w:trPr>
        <w:tc>
          <w:tcPr>
            <w:tcW w:w="1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BE204" w14:textId="77777777" w:rsidR="00BD3DC9" w:rsidRPr="003F5094" w:rsidRDefault="00BD3DC9" w:rsidP="001C72C2">
            <w:pPr>
              <w:pStyle w:val="BodyText"/>
              <w:rPr>
                <w:rFonts w:ascii="Arial" w:hAnsi="Arial" w:cs="Arial"/>
                <w:lang w:val="en-US" w:eastAsia="en-US"/>
              </w:rPr>
            </w:pPr>
          </w:p>
        </w:tc>
        <w:tc>
          <w:tcPr>
            <w:tcW w:w="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A977B" w14:textId="77777777" w:rsidR="00BD3DC9" w:rsidRPr="003F5094" w:rsidRDefault="00BD3DC9" w:rsidP="001C72C2">
            <w:pPr>
              <w:pStyle w:val="BodyText"/>
              <w:rPr>
                <w:rFonts w:ascii="Arial" w:hAnsi="Arial" w:cs="Arial"/>
                <w:lang w:val="sv-SE" w:eastAsia="sv-SE"/>
              </w:rPr>
            </w:pPr>
            <w:r w:rsidRPr="003F5094">
              <w:rPr>
                <w:rFonts w:ascii="Arial" w:hAnsi="Arial" w:cs="Arial"/>
              </w:rPr>
              <w:t>K</w:t>
            </w:r>
            <w:r w:rsidRPr="003F5094">
              <w:rPr>
                <w:rFonts w:ascii="Arial" w:hAnsi="Arial" w:cs="Arial"/>
                <w:vertAlign w:val="subscript"/>
              </w:rPr>
              <w:t>b,max</w:t>
            </w:r>
          </w:p>
        </w:tc>
        <w:tc>
          <w:tcPr>
            <w:tcW w:w="1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B1CE4" w14:textId="77777777" w:rsidR="00BD3DC9" w:rsidRPr="003F5094" w:rsidRDefault="00BD3DC9" w:rsidP="001C72C2">
            <w:pPr>
              <w:pStyle w:val="BodyText"/>
              <w:rPr>
                <w:rFonts w:ascii="Arial" w:hAnsi="Arial" w:cs="Arial"/>
              </w:rPr>
            </w:pPr>
            <w:r w:rsidRPr="003F5094">
              <w:rPr>
                <w:rFonts w:ascii="Arial" w:hAnsi="Arial" w:cs="Arial"/>
              </w:rPr>
              <w:t>K</w:t>
            </w:r>
            <w:r w:rsidRPr="003F5094">
              <w:rPr>
                <w:rFonts w:ascii="Arial" w:hAnsi="Arial" w:cs="Arial"/>
                <w:vertAlign w:val="subscript"/>
              </w:rPr>
              <w:t>max</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162CA" w14:textId="77777777" w:rsidR="00BD3DC9" w:rsidRPr="003F5094" w:rsidRDefault="00BD3DC9" w:rsidP="001C72C2">
            <w:pPr>
              <w:pStyle w:val="BodyText"/>
              <w:rPr>
                <w:rFonts w:ascii="Arial" w:hAnsi="Arial" w:cs="Arial"/>
              </w:rPr>
            </w:pPr>
            <w:r w:rsidRPr="003F5094">
              <w:rPr>
                <w:rFonts w:ascii="Arial" w:hAnsi="Arial" w:cs="Arial"/>
              </w:rPr>
              <w:t>R</w:t>
            </w:r>
            <w:r w:rsidRPr="003F5094">
              <w:rPr>
                <w:rFonts w:ascii="Arial" w:hAnsi="Arial" w:cs="Arial"/>
                <w:vertAlign w:val="subscript"/>
              </w:rPr>
              <w:t>max</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7B972" w14:textId="77777777" w:rsidR="00BD3DC9" w:rsidRPr="003F5094" w:rsidRDefault="00BD3DC9" w:rsidP="001C72C2">
            <w:pPr>
              <w:pStyle w:val="BodyText"/>
              <w:rPr>
                <w:rFonts w:ascii="Arial" w:hAnsi="Arial" w:cs="Arial"/>
              </w:rPr>
            </w:pPr>
            <w:r w:rsidRPr="003F5094">
              <w:rPr>
                <w:rFonts w:ascii="Arial" w:hAnsi="Arial" w:cs="Arial"/>
              </w:rPr>
              <w:t>R</w:t>
            </w:r>
            <w:r w:rsidRPr="003F5094">
              <w:rPr>
                <w:rFonts w:ascii="Arial" w:hAnsi="Arial" w:cs="Arial"/>
                <w:vertAlign w:val="subscript"/>
              </w:rPr>
              <w:t>min</w:t>
            </w:r>
          </w:p>
        </w:tc>
        <w:tc>
          <w:tcPr>
            <w:tcW w:w="16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230FD" w14:textId="2579671A" w:rsidR="00BD3DC9" w:rsidRPr="003F5094" w:rsidRDefault="00BD3DC9" w:rsidP="001C72C2">
            <w:pPr>
              <w:pStyle w:val="BodyText"/>
              <w:rPr>
                <w:rFonts w:ascii="Arial" w:hAnsi="Arial" w:cs="Arial"/>
              </w:rPr>
            </w:pPr>
            <w:r>
              <w:rPr>
                <w:rFonts w:ascii="Arial" w:hAnsi="Arial" w:cs="Arial"/>
              </w:rPr>
              <w:t>Maximum size of base matrix</w:t>
            </w:r>
          </w:p>
        </w:tc>
        <w:tc>
          <w:tcPr>
            <w:tcW w:w="1418" w:type="dxa"/>
            <w:tcBorders>
              <w:top w:val="single" w:sz="8" w:space="0" w:color="auto"/>
              <w:left w:val="nil"/>
              <w:bottom w:val="single" w:sz="8" w:space="0" w:color="auto"/>
              <w:right w:val="single" w:sz="8" w:space="0" w:color="auto"/>
            </w:tcBorders>
          </w:tcPr>
          <w:p w14:paraId="4C7A966A" w14:textId="7BEB35AB" w:rsidR="00BD3DC9" w:rsidRDefault="00BD3DC9" w:rsidP="001C72C2">
            <w:pPr>
              <w:pStyle w:val="BodyText"/>
              <w:jc w:val="center"/>
              <w:rPr>
                <w:rFonts w:ascii="Arial" w:hAnsi="Arial" w:cs="Arial"/>
              </w:rPr>
            </w:pPr>
            <w:r>
              <w:rPr>
                <w:rFonts w:ascii="Arial" w:hAnsi="Arial" w:cs="Arial"/>
              </w:rPr>
              <w:t># edges in rate  2/3 matrix</w:t>
            </w:r>
          </w:p>
        </w:tc>
        <w:tc>
          <w:tcPr>
            <w:tcW w:w="1417" w:type="dxa"/>
            <w:tcBorders>
              <w:top w:val="single" w:sz="8" w:space="0" w:color="auto"/>
              <w:left w:val="nil"/>
              <w:bottom w:val="single" w:sz="8" w:space="0" w:color="auto"/>
              <w:right w:val="single" w:sz="8" w:space="0" w:color="auto"/>
            </w:tcBorders>
          </w:tcPr>
          <w:p w14:paraId="15E944FD" w14:textId="0976E9DE" w:rsidR="00BD3DC9" w:rsidRDefault="00BD3DC9" w:rsidP="001C72C2">
            <w:pPr>
              <w:pStyle w:val="BodyText"/>
              <w:jc w:val="center"/>
              <w:rPr>
                <w:rFonts w:ascii="Arial" w:hAnsi="Arial" w:cs="Arial"/>
              </w:rPr>
            </w:pPr>
            <w:r>
              <w:rPr>
                <w:rFonts w:ascii="Arial" w:hAnsi="Arial" w:cs="Arial"/>
              </w:rPr>
              <w:t># edges in rate 1/4 matrix</w:t>
            </w:r>
          </w:p>
        </w:tc>
      </w:tr>
      <w:tr w:rsidR="00BD3DC9" w:rsidRPr="003F5094" w14:paraId="4D24510E" w14:textId="310867A4" w:rsidTr="001C72C2">
        <w:trPr>
          <w:trHeight w:val="513"/>
          <w:jc w:val="center"/>
        </w:trPr>
        <w:tc>
          <w:tcPr>
            <w:tcW w:w="1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B3231" w14:textId="77777777" w:rsidR="00BD3DC9" w:rsidRPr="003F5094" w:rsidRDefault="00BD3DC9" w:rsidP="001C72C2">
            <w:pPr>
              <w:pStyle w:val="BodyText"/>
              <w:rPr>
                <w:rFonts w:ascii="Arial" w:hAnsi="Arial" w:cs="Arial"/>
              </w:rPr>
            </w:pPr>
            <w:r w:rsidRPr="003F5094">
              <w:rPr>
                <w:rFonts w:ascii="Arial" w:hAnsi="Arial" w:cs="Arial"/>
              </w:rPr>
              <w:t>Base graph 1</w:t>
            </w:r>
          </w:p>
        </w:tc>
        <w:tc>
          <w:tcPr>
            <w:tcW w:w="704" w:type="dxa"/>
            <w:tcBorders>
              <w:top w:val="nil"/>
              <w:left w:val="nil"/>
              <w:bottom w:val="single" w:sz="8" w:space="0" w:color="auto"/>
              <w:right w:val="single" w:sz="8" w:space="0" w:color="auto"/>
            </w:tcBorders>
            <w:tcMar>
              <w:top w:w="0" w:type="dxa"/>
              <w:left w:w="108" w:type="dxa"/>
              <w:bottom w:w="0" w:type="dxa"/>
              <w:right w:w="108" w:type="dxa"/>
            </w:tcMar>
            <w:hideMark/>
          </w:tcPr>
          <w:p w14:paraId="3221653B" w14:textId="68BA0433" w:rsidR="00BD3DC9" w:rsidRPr="003F5094" w:rsidRDefault="00BD3DC9" w:rsidP="001C72C2">
            <w:pPr>
              <w:pStyle w:val="BodyText"/>
              <w:rPr>
                <w:rFonts w:ascii="Arial" w:hAnsi="Arial" w:cs="Arial"/>
              </w:rPr>
            </w:pPr>
            <w:r>
              <w:rPr>
                <w:rFonts w:ascii="Arial" w:hAnsi="Arial" w:cs="Arial"/>
              </w:rPr>
              <w:t>32</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093E86A6" w14:textId="77777777" w:rsidR="00BD3DC9" w:rsidRPr="003F5094" w:rsidRDefault="00BD3DC9" w:rsidP="001C72C2">
            <w:pPr>
              <w:pStyle w:val="BodyText"/>
              <w:rPr>
                <w:rFonts w:ascii="Arial" w:hAnsi="Arial" w:cs="Arial"/>
              </w:rPr>
            </w:pPr>
            <w:r w:rsidRPr="003F5094">
              <w:rPr>
                <w:rFonts w:ascii="Arial" w:hAnsi="Arial" w:cs="Arial"/>
              </w:rPr>
              <w:t>8192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6623AFDB" w14:textId="77777777" w:rsidR="00BD3DC9" w:rsidRPr="003F5094" w:rsidRDefault="00BD3DC9" w:rsidP="001C72C2">
            <w:pPr>
              <w:pStyle w:val="BodyText"/>
              <w:rPr>
                <w:rFonts w:ascii="Arial" w:hAnsi="Arial" w:cs="Arial"/>
              </w:rPr>
            </w:pPr>
            <w:r w:rsidRPr="003F5094">
              <w:rPr>
                <w:rFonts w:ascii="Arial" w:hAnsi="Arial" w:cs="Arial"/>
              </w:rPr>
              <w:t>8/9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21E4F30" w14:textId="7407D832" w:rsidR="00BD3DC9" w:rsidRPr="003F5094" w:rsidRDefault="00BD3DC9" w:rsidP="001C72C2">
            <w:pPr>
              <w:pStyle w:val="BodyText"/>
              <w:rPr>
                <w:rFonts w:ascii="Arial" w:hAnsi="Arial" w:cs="Arial"/>
              </w:rPr>
            </w:pPr>
            <w:r>
              <w:rPr>
                <w:rFonts w:ascii="Arial" w:hAnsi="Arial" w:cs="Arial"/>
              </w:rPr>
              <w:t>1/4*</w:t>
            </w:r>
          </w:p>
        </w:tc>
        <w:tc>
          <w:tcPr>
            <w:tcW w:w="1650" w:type="dxa"/>
            <w:tcBorders>
              <w:top w:val="nil"/>
              <w:left w:val="nil"/>
              <w:bottom w:val="single" w:sz="8" w:space="0" w:color="auto"/>
              <w:right w:val="single" w:sz="8" w:space="0" w:color="auto"/>
            </w:tcBorders>
            <w:tcMar>
              <w:top w:w="0" w:type="dxa"/>
              <w:left w:w="108" w:type="dxa"/>
              <w:bottom w:w="0" w:type="dxa"/>
              <w:right w:w="108" w:type="dxa"/>
            </w:tcMar>
            <w:hideMark/>
          </w:tcPr>
          <w:p w14:paraId="706E28E8" w14:textId="10876A8E" w:rsidR="00BD3DC9" w:rsidRPr="003F5094" w:rsidRDefault="00BD3DC9" w:rsidP="001C72C2">
            <w:pPr>
              <w:pStyle w:val="BodyText"/>
              <w:jc w:val="center"/>
              <w:rPr>
                <w:rFonts w:ascii="Arial" w:hAnsi="Arial" w:cs="Arial"/>
              </w:rPr>
            </w:pPr>
            <w:r>
              <w:rPr>
                <w:rFonts w:ascii="Arial" w:hAnsi="Arial" w:cs="Arial"/>
              </w:rPr>
              <w:t>98 x 130</w:t>
            </w:r>
          </w:p>
        </w:tc>
        <w:tc>
          <w:tcPr>
            <w:tcW w:w="1418" w:type="dxa"/>
            <w:tcBorders>
              <w:top w:val="nil"/>
              <w:left w:val="nil"/>
              <w:bottom w:val="single" w:sz="8" w:space="0" w:color="auto"/>
              <w:right w:val="single" w:sz="8" w:space="0" w:color="auto"/>
            </w:tcBorders>
          </w:tcPr>
          <w:p w14:paraId="2A7CCE3B" w14:textId="2A15BC30" w:rsidR="00BD3DC9" w:rsidRDefault="001C72C2" w:rsidP="001C72C2">
            <w:pPr>
              <w:pStyle w:val="BodyText"/>
              <w:jc w:val="center"/>
              <w:rPr>
                <w:rFonts w:ascii="Arial" w:hAnsi="Arial" w:cs="Arial"/>
              </w:rPr>
            </w:pPr>
            <w:r>
              <w:rPr>
                <w:rFonts w:ascii="Arial" w:hAnsi="Arial" w:cs="Arial"/>
              </w:rPr>
              <w:t>221</w:t>
            </w:r>
          </w:p>
        </w:tc>
        <w:tc>
          <w:tcPr>
            <w:tcW w:w="1417" w:type="dxa"/>
            <w:tcBorders>
              <w:top w:val="nil"/>
              <w:left w:val="nil"/>
              <w:bottom w:val="single" w:sz="8" w:space="0" w:color="auto"/>
              <w:right w:val="single" w:sz="8" w:space="0" w:color="auto"/>
            </w:tcBorders>
          </w:tcPr>
          <w:p w14:paraId="11006422" w14:textId="3FA6628D" w:rsidR="00BD3DC9" w:rsidRDefault="001C72C2" w:rsidP="001C72C2">
            <w:pPr>
              <w:pStyle w:val="BodyText"/>
              <w:jc w:val="center"/>
              <w:rPr>
                <w:rFonts w:ascii="Arial" w:hAnsi="Arial" w:cs="Arial"/>
              </w:rPr>
            </w:pPr>
            <w:r>
              <w:rPr>
                <w:rFonts w:ascii="Arial" w:hAnsi="Arial" w:cs="Arial"/>
              </w:rPr>
              <w:t>671</w:t>
            </w:r>
          </w:p>
        </w:tc>
      </w:tr>
      <w:tr w:rsidR="00BD3DC9" w:rsidRPr="003F5094" w14:paraId="20240B05" w14:textId="570E36C1" w:rsidTr="001C72C2">
        <w:trPr>
          <w:trHeight w:val="474"/>
          <w:jc w:val="center"/>
        </w:trPr>
        <w:tc>
          <w:tcPr>
            <w:tcW w:w="1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65AD5" w14:textId="77777777" w:rsidR="00BD3DC9" w:rsidRPr="003F5094" w:rsidRDefault="00BD3DC9" w:rsidP="001C72C2">
            <w:pPr>
              <w:pStyle w:val="BodyText"/>
              <w:rPr>
                <w:rFonts w:ascii="Arial" w:hAnsi="Arial" w:cs="Arial"/>
              </w:rPr>
            </w:pPr>
            <w:r w:rsidRPr="003F5094">
              <w:rPr>
                <w:rFonts w:ascii="Arial" w:hAnsi="Arial" w:cs="Arial"/>
              </w:rPr>
              <w:t>Base graph 2</w:t>
            </w:r>
          </w:p>
        </w:tc>
        <w:tc>
          <w:tcPr>
            <w:tcW w:w="704" w:type="dxa"/>
            <w:tcBorders>
              <w:top w:val="nil"/>
              <w:left w:val="nil"/>
              <w:bottom w:val="single" w:sz="8" w:space="0" w:color="auto"/>
              <w:right w:val="single" w:sz="8" w:space="0" w:color="auto"/>
            </w:tcBorders>
            <w:tcMar>
              <w:top w:w="0" w:type="dxa"/>
              <w:left w:w="108" w:type="dxa"/>
              <w:bottom w:w="0" w:type="dxa"/>
              <w:right w:w="108" w:type="dxa"/>
            </w:tcMar>
            <w:hideMark/>
          </w:tcPr>
          <w:p w14:paraId="77176190" w14:textId="77777777" w:rsidR="00BD3DC9" w:rsidRPr="003F5094" w:rsidRDefault="00BD3DC9" w:rsidP="001C72C2">
            <w:pPr>
              <w:pStyle w:val="BodyText"/>
              <w:rPr>
                <w:rFonts w:ascii="Arial" w:hAnsi="Arial" w:cs="Arial"/>
              </w:rPr>
            </w:pPr>
            <w:r w:rsidRPr="003F5094">
              <w:rPr>
                <w:rFonts w:ascii="Arial" w:hAnsi="Arial" w:cs="Arial"/>
              </w:rPr>
              <w:t>10</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378FF584" w14:textId="48E9AC11" w:rsidR="00BD3DC9" w:rsidRPr="003F5094" w:rsidRDefault="00BD3DC9" w:rsidP="001C72C2">
            <w:pPr>
              <w:pStyle w:val="BodyText"/>
              <w:rPr>
                <w:rFonts w:ascii="Arial" w:hAnsi="Arial" w:cs="Arial"/>
              </w:rPr>
            </w:pPr>
            <w:r>
              <w:rPr>
                <w:rFonts w:ascii="Arial" w:hAnsi="Arial" w:cs="Arial"/>
              </w:rPr>
              <w:t>2560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618D3C17" w14:textId="77777777" w:rsidR="00BD3DC9" w:rsidRPr="003F5094" w:rsidRDefault="00BD3DC9" w:rsidP="001C72C2">
            <w:pPr>
              <w:pStyle w:val="BodyText"/>
              <w:rPr>
                <w:rFonts w:ascii="Arial" w:hAnsi="Arial" w:cs="Arial"/>
              </w:rPr>
            </w:pPr>
            <w:r w:rsidRPr="003F5094">
              <w:rPr>
                <w:rFonts w:ascii="Arial" w:hAnsi="Arial" w:cs="Arial"/>
              </w:rPr>
              <w:t>2/3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2471773" w14:textId="77777777" w:rsidR="00BD3DC9" w:rsidRPr="003F5094" w:rsidRDefault="00BD3DC9" w:rsidP="001C72C2">
            <w:pPr>
              <w:pStyle w:val="BodyText"/>
              <w:rPr>
                <w:rFonts w:ascii="Arial" w:hAnsi="Arial" w:cs="Arial"/>
              </w:rPr>
            </w:pPr>
            <w:r w:rsidRPr="003F5094">
              <w:rPr>
                <w:rFonts w:ascii="Arial" w:hAnsi="Arial" w:cs="Arial"/>
              </w:rPr>
              <w:t>1/5</w:t>
            </w:r>
          </w:p>
        </w:tc>
        <w:tc>
          <w:tcPr>
            <w:tcW w:w="1650" w:type="dxa"/>
            <w:tcBorders>
              <w:top w:val="nil"/>
              <w:left w:val="nil"/>
              <w:bottom w:val="single" w:sz="8" w:space="0" w:color="auto"/>
              <w:right w:val="single" w:sz="8" w:space="0" w:color="auto"/>
            </w:tcBorders>
            <w:tcMar>
              <w:top w:w="0" w:type="dxa"/>
              <w:left w:w="108" w:type="dxa"/>
              <w:bottom w:w="0" w:type="dxa"/>
              <w:right w:w="108" w:type="dxa"/>
            </w:tcMar>
            <w:hideMark/>
          </w:tcPr>
          <w:p w14:paraId="7CC802E5" w14:textId="6248E963" w:rsidR="00BD3DC9" w:rsidRPr="003F5094" w:rsidRDefault="00BD3DC9" w:rsidP="001C72C2">
            <w:pPr>
              <w:pStyle w:val="BodyText"/>
              <w:jc w:val="center"/>
              <w:rPr>
                <w:rFonts w:ascii="Arial" w:hAnsi="Arial" w:cs="Arial"/>
              </w:rPr>
            </w:pPr>
            <w:r>
              <w:rPr>
                <w:rFonts w:ascii="Arial" w:hAnsi="Arial" w:cs="Arial"/>
              </w:rPr>
              <w:t>42 x 52</w:t>
            </w:r>
          </w:p>
        </w:tc>
        <w:tc>
          <w:tcPr>
            <w:tcW w:w="1418" w:type="dxa"/>
            <w:tcBorders>
              <w:top w:val="nil"/>
              <w:left w:val="nil"/>
              <w:bottom w:val="single" w:sz="8" w:space="0" w:color="auto"/>
              <w:right w:val="single" w:sz="8" w:space="0" w:color="auto"/>
            </w:tcBorders>
          </w:tcPr>
          <w:p w14:paraId="5757721D" w14:textId="4E30FE3C" w:rsidR="00BD3DC9" w:rsidRDefault="001C72C2" w:rsidP="001C72C2">
            <w:pPr>
              <w:pStyle w:val="BodyText"/>
              <w:jc w:val="center"/>
              <w:rPr>
                <w:rFonts w:ascii="Arial" w:hAnsi="Arial" w:cs="Arial"/>
              </w:rPr>
            </w:pPr>
            <w:r>
              <w:rPr>
                <w:rFonts w:ascii="Arial" w:hAnsi="Arial" w:cs="Arial"/>
              </w:rPr>
              <w:t>50</w:t>
            </w:r>
          </w:p>
        </w:tc>
        <w:tc>
          <w:tcPr>
            <w:tcW w:w="1417" w:type="dxa"/>
            <w:tcBorders>
              <w:top w:val="nil"/>
              <w:left w:val="nil"/>
              <w:bottom w:val="single" w:sz="8" w:space="0" w:color="auto"/>
              <w:right w:val="single" w:sz="8" w:space="0" w:color="auto"/>
            </w:tcBorders>
          </w:tcPr>
          <w:p w14:paraId="50C1A0DF" w14:textId="4B1FDEDB" w:rsidR="00BD3DC9" w:rsidRDefault="001C72C2" w:rsidP="001C72C2">
            <w:pPr>
              <w:pStyle w:val="BodyText"/>
              <w:jc w:val="center"/>
              <w:rPr>
                <w:rFonts w:ascii="Arial" w:hAnsi="Arial" w:cs="Arial"/>
              </w:rPr>
            </w:pPr>
            <w:r>
              <w:rPr>
                <w:rFonts w:ascii="Arial" w:hAnsi="Arial" w:cs="Arial"/>
              </w:rPr>
              <w:t>161</w:t>
            </w:r>
          </w:p>
        </w:tc>
      </w:tr>
    </w:tbl>
    <w:p w14:paraId="6C15D0EF" w14:textId="7AD8B02D" w:rsidR="001C3BAB" w:rsidRDefault="001C3BAB" w:rsidP="003A0E41">
      <w:pPr>
        <w:rPr>
          <w:rFonts w:ascii="Arial" w:hAnsi="Arial" w:cs="Arial"/>
        </w:rPr>
      </w:pPr>
      <w:r>
        <w:rPr>
          <w:rFonts w:ascii="Arial" w:hAnsi="Arial" w:cs="Arial"/>
        </w:rPr>
        <w:t>* Note that for Base graph 1, for K</w:t>
      </w:r>
      <w:r w:rsidRPr="00F4534D">
        <w:rPr>
          <w:rFonts w:ascii="Arial" w:hAnsi="Arial" w:cs="Arial"/>
          <w:vertAlign w:val="subscript"/>
        </w:rPr>
        <w:t>max</w:t>
      </w:r>
      <w:r>
        <w:rPr>
          <w:rFonts w:ascii="Arial" w:hAnsi="Arial" w:cs="Arial"/>
        </w:rPr>
        <w:t xml:space="preserve">=8192 and K values close to it, the code extension stops at </w:t>
      </w:r>
      <w:r w:rsidRPr="003F5094">
        <w:rPr>
          <w:rFonts w:ascii="Arial" w:hAnsi="Arial" w:cs="Arial"/>
        </w:rPr>
        <w:t>R</w:t>
      </w:r>
      <w:r w:rsidRPr="003F5094">
        <w:rPr>
          <w:rFonts w:ascii="Arial" w:hAnsi="Arial" w:cs="Arial"/>
          <w:vertAlign w:val="subscript"/>
        </w:rPr>
        <w:t>min</w:t>
      </w:r>
      <w:r>
        <w:rPr>
          <w:rFonts w:ascii="Arial" w:hAnsi="Arial" w:cs="Arial"/>
        </w:rPr>
        <w:t xml:space="preserve">=1/3. For smaller K values, the code extension continues to </w:t>
      </w:r>
      <w:r w:rsidRPr="003F5094">
        <w:rPr>
          <w:rFonts w:ascii="Arial" w:hAnsi="Arial" w:cs="Arial"/>
        </w:rPr>
        <w:t>R</w:t>
      </w:r>
      <w:r w:rsidRPr="003F5094">
        <w:rPr>
          <w:rFonts w:ascii="Arial" w:hAnsi="Arial" w:cs="Arial"/>
          <w:vertAlign w:val="subscript"/>
        </w:rPr>
        <w:t>min</w:t>
      </w:r>
      <w:r>
        <w:rPr>
          <w:rFonts w:ascii="Arial" w:hAnsi="Arial" w:cs="Arial"/>
        </w:rPr>
        <w:t>=1/4.</w:t>
      </w:r>
    </w:p>
    <w:p w14:paraId="0064C5AA" w14:textId="77777777" w:rsidR="009E7672" w:rsidRDefault="009E7672" w:rsidP="003A0E41"/>
    <w:p w14:paraId="65EB9A05" w14:textId="4049A9AE" w:rsidR="00B54CF0" w:rsidRDefault="007C3B59" w:rsidP="003A0E41">
      <w:r>
        <w:fldChar w:fldCharType="begin"/>
      </w:r>
      <w:r>
        <w:instrText xml:space="preserve"> REF _Ref478038923 \h </w:instrText>
      </w:r>
      <w:r>
        <w:fldChar w:fldCharType="separate"/>
      </w:r>
      <w:r w:rsidR="00BE76BE">
        <w:t xml:space="preserve">Figure </w:t>
      </w:r>
      <w:r w:rsidR="00BE76BE">
        <w:rPr>
          <w:noProof/>
        </w:rPr>
        <w:t>1</w:t>
      </w:r>
      <w:r>
        <w:fldChar w:fldCharType="end"/>
      </w:r>
      <w:r w:rsidR="00B54CF0">
        <w:t xml:space="preserve"> shows the </w:t>
      </w:r>
      <w:r>
        <w:t xml:space="preserve">edge ratio for the two base graphs presented in </w:t>
      </w:r>
      <w:r w:rsidRPr="007C3B59">
        <w:fldChar w:fldCharType="begin"/>
      </w:r>
      <w:r w:rsidRPr="007C3B59">
        <w:instrText xml:space="preserve"> REF _Ref477959693 \r \h  \* MERGEFORMAT </w:instrText>
      </w:r>
      <w:r w:rsidRPr="007C3B59">
        <w:fldChar w:fldCharType="separate"/>
      </w:r>
      <w:r w:rsidR="00BE76BE">
        <w:t>[3]</w:t>
      </w:r>
      <w:r w:rsidRPr="007C3B59">
        <w:fldChar w:fldCharType="end"/>
      </w:r>
      <w:r>
        <w:t>. Since it is the edges in the base graph that are counted, the steps in the graph corresponds to when one more row, and thereby more edges, of the base graph must be considered to achieve a specific code rate.</w:t>
      </w:r>
      <w:r w:rsidR="00EB78BF">
        <w:t xml:space="preserve"> For this example, </w:t>
      </w:r>
      <w:r w:rsidR="00EB78BF">
        <w:fldChar w:fldCharType="begin"/>
      </w:r>
      <w:r w:rsidR="00EB78BF">
        <w:instrText xml:space="preserve"> REF _Ref478038923 \h </w:instrText>
      </w:r>
      <w:r w:rsidR="00EB78BF">
        <w:fldChar w:fldCharType="separate"/>
      </w:r>
      <w:r w:rsidR="00BE76BE">
        <w:t xml:space="preserve">Figure </w:t>
      </w:r>
      <w:r w:rsidR="00BE76BE">
        <w:rPr>
          <w:noProof/>
        </w:rPr>
        <w:t>1</w:t>
      </w:r>
      <w:r w:rsidR="00EB78BF">
        <w:fldChar w:fldCharType="end"/>
      </w:r>
      <w:r w:rsidR="00EB78BF">
        <w:t xml:space="preserve"> shows that the number of edges in base graph 2 is always less than 1/4 (edge ratio &lt; 1/4) of the number of edges in base graph 1 for the same code rate.</w:t>
      </w:r>
      <w:r w:rsidR="008646CC">
        <w:t xml:space="preserve"> Thus, for any information block length </w:t>
      </w:r>
      <m:oMath>
        <m:r>
          <w:rPr>
            <w:rFonts w:ascii="Cambria Math" w:hAnsi="Cambria Math"/>
          </w:rPr>
          <m:t>K≤2560</m:t>
        </m:r>
      </m:oMath>
      <w:r w:rsidR="008646CC">
        <w:t xml:space="preserve">, only </w:t>
      </w:r>
      <w:r w:rsidR="00273F05">
        <w:t xml:space="preserve">around </w:t>
      </w:r>
      <w:r w:rsidR="008646CC">
        <w:t>1/4 of the clock cycles are needed for one decoder iteration if base graph 2 is used instead of base graph 1.</w:t>
      </w:r>
    </w:p>
    <w:p w14:paraId="20DC6CA9" w14:textId="77777777" w:rsidR="00B54CF0" w:rsidRDefault="00B54CF0" w:rsidP="00B54CF0">
      <w:pPr>
        <w:keepNext/>
        <w:jc w:val="center"/>
      </w:pPr>
      <w:r w:rsidRPr="00B54CF0">
        <w:rPr>
          <w:noProof/>
          <w:lang w:val="en-US"/>
        </w:rPr>
        <w:drawing>
          <wp:inline distT="0" distB="0" distL="0" distR="0" wp14:anchorId="43CA98FB" wp14:editId="57C0B2D1">
            <wp:extent cx="4204800" cy="315360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2241" cy="3166681"/>
                    </a:xfrm>
                    <a:prstGeom prst="rect">
                      <a:avLst/>
                    </a:prstGeom>
                  </pic:spPr>
                </pic:pic>
              </a:graphicData>
            </a:graphic>
          </wp:inline>
        </w:drawing>
      </w:r>
    </w:p>
    <w:p w14:paraId="398E094E" w14:textId="62DB5195" w:rsidR="00B54CF0" w:rsidRDefault="00B54CF0" w:rsidP="007C3B59">
      <w:pPr>
        <w:pStyle w:val="Caption"/>
        <w:ind w:left="1134" w:hanging="1134"/>
        <w:jc w:val="left"/>
      </w:pPr>
      <w:bookmarkStart w:id="2" w:name="_Ref478038923"/>
      <w:r>
        <w:t xml:space="preserve">Figure </w:t>
      </w:r>
      <w:r>
        <w:fldChar w:fldCharType="begin"/>
      </w:r>
      <w:r>
        <w:instrText xml:space="preserve"> SEQ Figure \* ARABIC </w:instrText>
      </w:r>
      <w:r>
        <w:fldChar w:fldCharType="separate"/>
      </w:r>
      <w:r w:rsidR="00BE76BE">
        <w:rPr>
          <w:noProof/>
        </w:rPr>
        <w:t>1</w:t>
      </w:r>
      <w:r>
        <w:fldChar w:fldCharType="end"/>
      </w:r>
      <w:bookmarkEnd w:id="2"/>
      <w:r>
        <w:tab/>
      </w:r>
      <w:r w:rsidR="007C3B59">
        <w:t xml:space="preserve">Edge ratio for the two base graphs </w:t>
      </w:r>
      <w:r w:rsidR="007C3B59" w:rsidRPr="007C3B59">
        <w:t xml:space="preserve">presented in </w:t>
      </w:r>
      <w:r w:rsidR="007C3B59" w:rsidRPr="007C3B59">
        <w:fldChar w:fldCharType="begin"/>
      </w:r>
      <w:r w:rsidR="007C3B59" w:rsidRPr="007C3B59">
        <w:instrText xml:space="preserve"> REF _Ref477959693 \r \h  \* MERGEFORMAT </w:instrText>
      </w:r>
      <w:r w:rsidR="007C3B59" w:rsidRPr="007C3B59">
        <w:fldChar w:fldCharType="separate"/>
      </w:r>
      <w:r w:rsidR="00BE76BE">
        <w:t>[3]</w:t>
      </w:r>
      <w:r w:rsidR="007C3B59" w:rsidRPr="007C3B59">
        <w:fldChar w:fldCharType="end"/>
      </w:r>
      <w:r w:rsidR="007C3B59" w:rsidRPr="007C3B59">
        <w:t xml:space="preserve">. </w:t>
      </w:r>
      <w:r w:rsidR="007C3B59">
        <w:t>The number of edges in base graph 2 is always less than 1/4 of the number of edges in base graph 1.</w:t>
      </w:r>
    </w:p>
    <w:p w14:paraId="052A9A03" w14:textId="1BF8DEF1" w:rsidR="00A01EF0" w:rsidRPr="00A01EF0" w:rsidRDefault="00A01EF0" w:rsidP="00A01EF0">
      <w:pPr>
        <w:pStyle w:val="Proposal"/>
        <w:numPr>
          <w:ilvl w:val="0"/>
          <w:numId w:val="18"/>
        </w:numPr>
        <w:tabs>
          <w:tab w:val="clear" w:pos="1701"/>
        </w:tabs>
        <w:ind w:left="1701" w:hanging="1701"/>
        <w:rPr>
          <w:rFonts w:ascii="Arial" w:eastAsia="MS Mincho" w:hAnsi="Arial" w:cs="Arial"/>
        </w:rPr>
      </w:pPr>
      <w:r w:rsidRPr="00A01EF0">
        <w:rPr>
          <w:rFonts w:ascii="Arial" w:eastAsia="MS Mincho" w:hAnsi="Arial" w:cs="Arial"/>
        </w:rPr>
        <w:t xml:space="preserve">Using a properly designed second base graph, the decoding latency </w:t>
      </w:r>
      <w:r>
        <w:rPr>
          <w:rFonts w:ascii="Arial" w:eastAsia="MS Mincho" w:hAnsi="Arial" w:cs="Arial"/>
        </w:rPr>
        <w:t xml:space="preserve">for short information block lengths </w:t>
      </w:r>
      <w:r w:rsidRPr="00A01EF0">
        <w:rPr>
          <w:rFonts w:ascii="Arial" w:eastAsia="MS Mincho" w:hAnsi="Arial" w:cs="Arial"/>
        </w:rPr>
        <w:t>may be reduced by a factor of 4 or more.</w:t>
      </w:r>
    </w:p>
    <w:p w14:paraId="12D5A40A" w14:textId="77777777" w:rsidR="00A01EF0" w:rsidRPr="00A01EF0" w:rsidRDefault="00A01EF0" w:rsidP="00A01EF0"/>
    <w:p w14:paraId="0DA8B48D" w14:textId="77777777" w:rsidR="004929F1" w:rsidRDefault="004929F1" w:rsidP="004929F1">
      <w:pPr>
        <w:pStyle w:val="Heading1"/>
      </w:pPr>
      <w:r>
        <w:t>Impact of packet size statistics in uplink</w:t>
      </w:r>
    </w:p>
    <w:p w14:paraId="1C234178" w14:textId="628E463A" w:rsidR="004929F1" w:rsidRPr="008C4321" w:rsidRDefault="004929F1" w:rsidP="004929F1">
      <w:r>
        <w:t xml:space="preserve">For the gNB, that must be capable of simultaneous decoding of codewords from many UEs, the typical packet size may have a large impact. We therefore consider the uplink packet size statistics presented in </w:t>
      </w:r>
      <w:r>
        <w:fldChar w:fldCharType="begin"/>
      </w:r>
      <w:r>
        <w:instrText xml:space="preserve"> REF _Ref477952318 \r \h </w:instrText>
      </w:r>
      <w:r>
        <w:fldChar w:fldCharType="separate"/>
      </w:r>
      <w:r w:rsidR="00BE76BE">
        <w:t>[2]</w:t>
      </w:r>
      <w:r>
        <w:fldChar w:fldCharType="end"/>
      </w:r>
      <w:r>
        <w:t xml:space="preserve">. As shown in </w:t>
      </w:r>
      <w:r>
        <w:fldChar w:fldCharType="begin"/>
      </w:r>
      <w:r>
        <w:instrText xml:space="preserve"> REF _Ref465874464 \h </w:instrText>
      </w:r>
      <w:r>
        <w:fldChar w:fldCharType="separate"/>
      </w:r>
      <w:r w:rsidR="00BE76BE">
        <w:t xml:space="preserve">Figure </w:t>
      </w:r>
      <w:r w:rsidR="00BE76BE">
        <w:rPr>
          <w:noProof/>
        </w:rPr>
        <w:t>2</w:t>
      </w:r>
      <w:r>
        <w:fldChar w:fldCharType="end"/>
      </w:r>
      <w:r>
        <w:t xml:space="preserve"> and </w:t>
      </w:r>
      <w:r>
        <w:fldChar w:fldCharType="begin"/>
      </w:r>
      <w:r>
        <w:instrText xml:space="preserve"> REF _Ref465874466 \h </w:instrText>
      </w:r>
      <w:r>
        <w:fldChar w:fldCharType="separate"/>
      </w:r>
      <w:r w:rsidR="00BE76BE">
        <w:t xml:space="preserve">Figure </w:t>
      </w:r>
      <w:r w:rsidR="00BE76BE">
        <w:rPr>
          <w:noProof/>
        </w:rPr>
        <w:t>3</w:t>
      </w:r>
      <w:r>
        <w:fldChar w:fldCharType="end"/>
      </w:r>
      <w:r>
        <w:t xml:space="preserve">, transmission of short packets dominates the uplink. From </w:t>
      </w:r>
      <w:r>
        <w:fldChar w:fldCharType="begin"/>
      </w:r>
      <w:r>
        <w:instrText xml:space="preserve"> REF _Ref465874466 \h </w:instrText>
      </w:r>
      <w:r>
        <w:fldChar w:fldCharType="separate"/>
      </w:r>
      <w:r w:rsidR="00BE76BE">
        <w:t xml:space="preserve">Figure </w:t>
      </w:r>
      <w:r w:rsidR="00BE76BE">
        <w:rPr>
          <w:noProof/>
        </w:rPr>
        <w:t>3</w:t>
      </w:r>
      <w:r>
        <w:fldChar w:fldCharType="end"/>
      </w:r>
      <w:r>
        <w:t>, we note that 80% of the uplink packets have a packet size of 536 bits or smaller.</w:t>
      </w:r>
    </w:p>
    <w:p w14:paraId="0F934D92" w14:textId="77777777" w:rsidR="004929F1" w:rsidRDefault="004929F1" w:rsidP="004929F1">
      <w:pPr>
        <w:pStyle w:val="BodyText"/>
      </w:pPr>
    </w:p>
    <w:p w14:paraId="21139DA0" w14:textId="77777777" w:rsidR="004929F1" w:rsidRDefault="004929F1" w:rsidP="004929F1">
      <w:pPr>
        <w:pStyle w:val="BodyText"/>
        <w:keepNext/>
        <w:jc w:val="center"/>
      </w:pPr>
      <w:r w:rsidRPr="00784ABD">
        <w:rPr>
          <w:noProof/>
          <w:lang w:val="en-US"/>
        </w:rPr>
        <w:drawing>
          <wp:inline distT="0" distB="0" distL="0" distR="0" wp14:anchorId="59FD1917" wp14:editId="5DB87B58">
            <wp:extent cx="3828197" cy="2043983"/>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7923" cy="2059854"/>
                    </a:xfrm>
                    <a:prstGeom prst="rect">
                      <a:avLst/>
                    </a:prstGeom>
                  </pic:spPr>
                </pic:pic>
              </a:graphicData>
            </a:graphic>
          </wp:inline>
        </w:drawing>
      </w:r>
    </w:p>
    <w:p w14:paraId="0892D6D3" w14:textId="7AB76291" w:rsidR="004929F1" w:rsidRDefault="004929F1" w:rsidP="004929F1">
      <w:pPr>
        <w:pStyle w:val="Caption"/>
      </w:pPr>
      <w:bookmarkStart w:id="3" w:name="_Ref465874464"/>
      <w:r>
        <w:t xml:space="preserve">Figure </w:t>
      </w:r>
      <w:r>
        <w:fldChar w:fldCharType="begin"/>
      </w:r>
      <w:r>
        <w:instrText xml:space="preserve"> SEQ Figure \* ARABIC </w:instrText>
      </w:r>
      <w:r>
        <w:fldChar w:fldCharType="separate"/>
      </w:r>
      <w:r w:rsidR="00BE76BE">
        <w:rPr>
          <w:noProof/>
        </w:rPr>
        <w:t>2</w:t>
      </w:r>
      <w:r>
        <w:fldChar w:fldCharType="end"/>
      </w:r>
      <w:bookmarkEnd w:id="3"/>
      <w:r>
        <w:t xml:space="preserve"> </w:t>
      </w:r>
      <w:r>
        <w:tab/>
        <w:t xml:space="preserve">Histogram over packet sizes in uplink, from </w:t>
      </w:r>
      <w:r>
        <w:fldChar w:fldCharType="begin"/>
      </w:r>
      <w:r>
        <w:instrText xml:space="preserve"> REF _Ref477952318 \r \h </w:instrText>
      </w:r>
      <w:r>
        <w:fldChar w:fldCharType="separate"/>
      </w:r>
      <w:r w:rsidR="00BE76BE">
        <w:t>[2]</w:t>
      </w:r>
      <w:r>
        <w:fldChar w:fldCharType="end"/>
      </w:r>
      <w:r>
        <w:t>.</w:t>
      </w:r>
    </w:p>
    <w:p w14:paraId="04480C03" w14:textId="77777777" w:rsidR="004929F1" w:rsidRDefault="004929F1" w:rsidP="004929F1">
      <w:pPr>
        <w:keepNext/>
        <w:jc w:val="center"/>
      </w:pPr>
      <w:r w:rsidRPr="00784ABD">
        <w:rPr>
          <w:noProof/>
          <w:lang w:val="en-US"/>
        </w:rPr>
        <w:drawing>
          <wp:inline distT="0" distB="0" distL="0" distR="0" wp14:anchorId="0960BFB4" wp14:editId="5FA722F9">
            <wp:extent cx="3858560" cy="2060196"/>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4115" cy="2084519"/>
                    </a:xfrm>
                    <a:prstGeom prst="rect">
                      <a:avLst/>
                    </a:prstGeom>
                  </pic:spPr>
                </pic:pic>
              </a:graphicData>
            </a:graphic>
          </wp:inline>
        </w:drawing>
      </w:r>
    </w:p>
    <w:p w14:paraId="5B017AC6" w14:textId="77777777" w:rsidR="004929F1" w:rsidRDefault="004929F1" w:rsidP="004929F1">
      <w:pPr>
        <w:keepNext/>
        <w:jc w:val="center"/>
      </w:pPr>
    </w:p>
    <w:p w14:paraId="62CFD3CC" w14:textId="278A81D3" w:rsidR="004929F1" w:rsidRDefault="004929F1" w:rsidP="004929F1">
      <w:pPr>
        <w:pStyle w:val="Caption"/>
      </w:pPr>
      <w:bookmarkStart w:id="4" w:name="_Ref465874466"/>
      <w:r>
        <w:t xml:space="preserve">Figure </w:t>
      </w:r>
      <w:r>
        <w:fldChar w:fldCharType="begin"/>
      </w:r>
      <w:r>
        <w:instrText xml:space="preserve"> SEQ Figure \* ARABIC </w:instrText>
      </w:r>
      <w:r>
        <w:fldChar w:fldCharType="separate"/>
      </w:r>
      <w:r w:rsidR="00BE76BE">
        <w:rPr>
          <w:noProof/>
        </w:rPr>
        <w:t>3</w:t>
      </w:r>
      <w:r>
        <w:fldChar w:fldCharType="end"/>
      </w:r>
      <w:bookmarkEnd w:id="4"/>
      <w:r>
        <w:tab/>
        <w:t xml:space="preserve">CDF over packet sizes in uplink, from </w:t>
      </w:r>
      <w:r>
        <w:fldChar w:fldCharType="begin"/>
      </w:r>
      <w:r>
        <w:instrText xml:space="preserve"> REF _Ref477952318 \r \h </w:instrText>
      </w:r>
      <w:r>
        <w:fldChar w:fldCharType="separate"/>
      </w:r>
      <w:r w:rsidR="00BE76BE">
        <w:t>[2]</w:t>
      </w:r>
      <w:r>
        <w:fldChar w:fldCharType="end"/>
      </w:r>
      <w:r>
        <w:t>.</w:t>
      </w:r>
    </w:p>
    <w:p w14:paraId="07A34516" w14:textId="761EA951" w:rsidR="003A4ECF" w:rsidRDefault="003A4ECF" w:rsidP="003A4ECF">
      <w:r>
        <w:t xml:space="preserve">If we combine the packet size statistics for the uplink with the results from Section </w:t>
      </w:r>
      <w:r w:rsidR="00401E3C">
        <w:fldChar w:fldCharType="begin"/>
      </w:r>
      <w:r w:rsidR="00401E3C">
        <w:instrText xml:space="preserve"> REF _Ref478041804 \r \h </w:instrText>
      </w:r>
      <w:r w:rsidR="00401E3C">
        <w:fldChar w:fldCharType="separate"/>
      </w:r>
      <w:r w:rsidR="00401E3C">
        <w:t>2</w:t>
      </w:r>
      <w:r w:rsidR="00401E3C">
        <w:fldChar w:fldCharType="end"/>
      </w:r>
      <w:r w:rsidR="00401E3C">
        <w:t>, we can make a coar</w:t>
      </w:r>
      <w:r w:rsidR="00861589">
        <w:t>se estimate of the relation between the number of decoder instances</w:t>
      </w:r>
      <w:r w:rsidR="00401E3C">
        <w:t xml:space="preserve"> that is needed for the case with only one base graph compared to when two base graphs are used. This i</w:t>
      </w:r>
      <w:r w:rsidR="00861589">
        <w:t>s an estimate, since</w:t>
      </w:r>
      <w:r w:rsidR="00401E3C">
        <w:t xml:space="preserve"> </w:t>
      </w:r>
      <w:r w:rsidR="00861589">
        <w:t>no overhead is added for handling</w:t>
      </w:r>
      <w:r w:rsidR="00401E3C">
        <w:t xml:space="preserve"> two base graphs instead of one. However, the same routing network can be used for both base graphs if they both use t</w:t>
      </w:r>
      <w:r w:rsidR="00861589">
        <w:t>he same Z values. The extra</w:t>
      </w:r>
      <w:r w:rsidR="00401E3C">
        <w:t xml:space="preserve"> overhead because of two base graphs should therefore be rather small.</w:t>
      </w:r>
    </w:p>
    <w:p w14:paraId="6A21A714" w14:textId="2038A30B" w:rsidR="003A4ECF" w:rsidRDefault="00401E3C" w:rsidP="003A4ECF">
      <w:r>
        <w:t xml:space="preserve">As an example, the packet size statistics show that 80% of the uplink packets are 536 bits long or less. Assuming that 80% of the packets use base graph 2 and only 20% of the packets must use base graph </w:t>
      </w:r>
      <w:r w:rsidR="007463F9">
        <w:t>1</w:t>
      </w:r>
      <w:r w:rsidR="00861589">
        <w:t xml:space="preserve">, we can estimate the number of decoder instances </w:t>
      </w:r>
      <w:r w:rsidR="007463F9">
        <w:t>needed if both base graph 1 (BG1) and base graph 2 (BG2) are used by</w:t>
      </w:r>
    </w:p>
    <w:p w14:paraId="030E9E05" w14:textId="2EB0EFAA" w:rsidR="00401E3C" w:rsidRDefault="008E5D31" w:rsidP="003A4ECF">
      <m:oMathPara>
        <m:oMath>
          <m:sSub>
            <m:sSubPr>
              <m:ctrlPr>
                <w:rPr>
                  <w:rFonts w:ascii="Cambria Math" w:hAnsi="Cambria Math"/>
                  <w:i/>
                </w:rPr>
              </m:ctrlPr>
            </m:sSubPr>
            <m:e>
              <m:r>
                <w:rPr>
                  <w:rFonts w:ascii="Cambria Math" w:hAnsi="Cambria Math"/>
                </w:rPr>
                <m:t>D</m:t>
              </m:r>
            </m:e>
            <m:sub>
              <m:r>
                <w:rPr>
                  <w:rFonts w:ascii="Cambria Math" w:hAnsi="Cambria Math"/>
                </w:rPr>
                <m:t>BG1+BG2</m:t>
              </m:r>
            </m:sub>
          </m:sSub>
          <m:r>
            <w:rPr>
              <w:rFonts w:ascii="Cambria Math" w:hAnsi="Cambria Math"/>
            </w:rPr>
            <m:t>=</m:t>
          </m:r>
          <m:sSub>
            <m:sSubPr>
              <m:ctrlPr>
                <w:rPr>
                  <w:rFonts w:ascii="Cambria Math" w:hAnsi="Cambria Math"/>
                  <w:i/>
                </w:rPr>
              </m:ctrlPr>
            </m:sSubPr>
            <m:e>
              <m:r>
                <w:rPr>
                  <w:rFonts w:ascii="Cambria Math" w:hAnsi="Cambria Math"/>
                </w:rPr>
                <m:t>0.8 D</m:t>
              </m:r>
            </m:e>
            <m:sub>
              <m:r>
                <w:rPr>
                  <w:rFonts w:ascii="Cambria Math" w:hAnsi="Cambria Math"/>
                </w:rPr>
                <m:t>BG2</m:t>
              </m:r>
            </m:sub>
          </m:sSub>
          <m:r>
            <w:rPr>
              <w:rFonts w:ascii="Cambria Math" w:hAnsi="Cambria Math"/>
            </w:rPr>
            <m:t xml:space="preserve">+0.2 </m:t>
          </m:r>
          <m:sSub>
            <m:sSubPr>
              <m:ctrlPr>
                <w:rPr>
                  <w:rFonts w:ascii="Cambria Math" w:hAnsi="Cambria Math"/>
                  <w:i/>
                </w:rPr>
              </m:ctrlPr>
            </m:sSubPr>
            <m:e>
              <m:r>
                <w:rPr>
                  <w:rFonts w:ascii="Cambria Math" w:hAnsi="Cambria Math"/>
                </w:rPr>
                <m:t>D</m:t>
              </m:r>
            </m:e>
            <m:sub>
              <m:r>
                <w:rPr>
                  <w:rFonts w:ascii="Cambria Math" w:hAnsi="Cambria Math"/>
                </w:rPr>
                <m:t>BG1</m:t>
              </m:r>
            </m:sub>
          </m:sSub>
          <m:r>
            <w:rPr>
              <w:rFonts w:ascii="Cambria Math" w:hAnsi="Cambria Math"/>
            </w:rPr>
            <m:t>=</m:t>
          </m:r>
          <m:d>
            <m:dPr>
              <m:ctrlPr>
                <w:rPr>
                  <w:rFonts w:ascii="Cambria Math" w:hAnsi="Cambria Math"/>
                  <w:i/>
                </w:rPr>
              </m:ctrlPr>
            </m:dPr>
            <m:e>
              <m:r>
                <w:rPr>
                  <w:rFonts w:ascii="Cambria Math" w:hAnsi="Cambria Math"/>
                </w:rPr>
                <m:t>0.8·</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+0.2</m:t>
              </m:r>
            </m:e>
          </m:d>
          <m:sSub>
            <m:sSubPr>
              <m:ctrlPr>
                <w:rPr>
                  <w:rFonts w:ascii="Cambria Math" w:hAnsi="Cambria Math"/>
                  <w:i/>
                </w:rPr>
              </m:ctrlPr>
            </m:sSubPr>
            <m:e>
              <m:r>
                <w:rPr>
                  <w:rFonts w:ascii="Cambria Math" w:hAnsi="Cambria Math"/>
                </w:rPr>
                <m:t>D</m:t>
              </m:r>
            </m:e>
            <m:sub>
              <m:r>
                <w:rPr>
                  <w:rFonts w:ascii="Cambria Math" w:hAnsi="Cambria Math"/>
                </w:rPr>
                <m:t>BG1</m:t>
              </m:r>
            </m:sub>
          </m:sSub>
          <m:r>
            <w:rPr>
              <w:rFonts w:ascii="Cambria Math" w:hAnsi="Cambria Math"/>
            </w:rPr>
            <m:t xml:space="preserve">=0.4 </m:t>
          </m:r>
          <m:sSub>
            <m:sSubPr>
              <m:ctrlPr>
                <w:rPr>
                  <w:rFonts w:ascii="Cambria Math" w:hAnsi="Cambria Math"/>
                  <w:i/>
                </w:rPr>
              </m:ctrlPr>
            </m:sSubPr>
            <m:e>
              <m:r>
                <w:rPr>
                  <w:rFonts w:ascii="Cambria Math" w:hAnsi="Cambria Math"/>
                </w:rPr>
                <m:t>D</m:t>
              </m:r>
            </m:e>
            <m:sub>
              <m:r>
                <w:rPr>
                  <w:rFonts w:ascii="Cambria Math" w:hAnsi="Cambria Math"/>
                </w:rPr>
                <m:t>BG1</m:t>
              </m:r>
            </m:sub>
          </m:sSub>
          <m:r>
            <w:rPr>
              <w:rFonts w:ascii="Cambria Math" w:hAnsi="Cambria Math"/>
            </w:rPr>
            <m:t>,</m:t>
          </m:r>
        </m:oMath>
      </m:oMathPara>
    </w:p>
    <w:p w14:paraId="40206191" w14:textId="43877000" w:rsidR="00DE5902" w:rsidRDefault="007463F9" w:rsidP="003A4ECF">
      <w:r>
        <w:t xml:space="preserve">where  </w:t>
      </w:r>
      <m:oMath>
        <m:sSub>
          <m:sSubPr>
            <m:ctrlPr>
              <w:rPr>
                <w:rFonts w:ascii="Cambria Math" w:hAnsi="Cambria Math"/>
                <w:i/>
              </w:rPr>
            </m:ctrlPr>
          </m:sSubPr>
          <m:e>
            <m:r>
              <w:rPr>
                <w:rFonts w:ascii="Cambria Math" w:hAnsi="Cambria Math"/>
              </w:rPr>
              <m:t>D</m:t>
            </m:r>
          </m:e>
          <m:sub>
            <m:r>
              <w:rPr>
                <w:rFonts w:ascii="Cambria Math" w:hAnsi="Cambria Math"/>
              </w:rPr>
              <m:t>BG1+BG2</m:t>
            </m:r>
          </m:sub>
        </m:sSub>
      </m:oMath>
      <w:r w:rsidR="00861589">
        <w:t xml:space="preserve"> corresponds to the number of decoder instances</w:t>
      </w:r>
      <w:r>
        <w:t xml:space="preserve"> needed if two base graphs are used and </w:t>
      </w:r>
      <m:oMath>
        <m:sSub>
          <m:sSubPr>
            <m:ctrlPr>
              <w:rPr>
                <w:rFonts w:ascii="Cambria Math" w:hAnsi="Cambria Math"/>
                <w:i/>
              </w:rPr>
            </m:ctrlPr>
          </m:sSubPr>
          <m:e>
            <m:r>
              <w:rPr>
                <w:rFonts w:ascii="Cambria Math" w:hAnsi="Cambria Math"/>
              </w:rPr>
              <m:t>D</m:t>
            </m:r>
          </m:e>
          <m:sub>
            <m:r>
              <w:rPr>
                <w:rFonts w:ascii="Cambria Math" w:hAnsi="Cambria Math"/>
              </w:rPr>
              <m:t>BG1</m:t>
            </m:r>
          </m:sub>
        </m:sSub>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BG2</m:t>
            </m:r>
          </m:sub>
        </m:sSub>
      </m:oMath>
      <w:r w:rsidR="00861589">
        <w:t xml:space="preserve"> correspond to the number of decoder instances</w:t>
      </w:r>
      <w:r>
        <w:t xml:space="preserve"> needed if only base graph 1 respectively base graph 2 are used.</w:t>
      </w:r>
      <w:r w:rsidR="00781F6B">
        <w:t xml:space="preserve"> </w:t>
      </w:r>
      <w:r w:rsidR="004F4C85">
        <w:t xml:space="preserve">The factor 1/4 is taken from Section </w:t>
      </w:r>
      <w:r w:rsidR="004F4C85">
        <w:fldChar w:fldCharType="begin"/>
      </w:r>
      <w:r w:rsidR="004F4C85">
        <w:instrText xml:space="preserve"> REF _Ref478041804 \r \h </w:instrText>
      </w:r>
      <w:r w:rsidR="004F4C85">
        <w:fldChar w:fldCharType="separate"/>
      </w:r>
      <w:r w:rsidR="004F4C85">
        <w:t>2</w:t>
      </w:r>
      <w:r w:rsidR="004F4C85">
        <w:fldChar w:fldCharType="end"/>
      </w:r>
      <w:r w:rsidR="004F4C85">
        <w:t>, where it was shown that, for the codes considered, there are always 4 times less edges in the second base graph than in the first.</w:t>
      </w:r>
      <w:r w:rsidR="00273F05">
        <w:t xml:space="preserve"> One instance of decoder hardware can thereby process 4 short codewords using base graph 2 in the same number of clock cycles that is needed for decoding of 1 long codeword using base graph 1.</w:t>
      </w:r>
    </w:p>
    <w:p w14:paraId="266440D8" w14:textId="05A23922" w:rsidR="00DE5902" w:rsidRDefault="00DC63A1" w:rsidP="003A4ECF">
      <w:r>
        <w:lastRenderedPageBreak/>
        <w:t xml:space="preserve">Since packets larger than 1024 bytes must be segmented into several code blocks, the fraction of these packets should be weighted with the number of large code blocks they correspond to. If we assume that all packets corresponding to information block length </w:t>
      </w:r>
      <m:oMath>
        <m:r>
          <w:rPr>
            <w:rFonts w:ascii="Cambria Math" w:hAnsi="Cambria Math"/>
          </w:rPr>
          <m:t>K≤2560</m:t>
        </m:r>
      </m:oMath>
      <w:r w:rsidR="00273F05">
        <w:t xml:space="preserve"> use base graph 2</w:t>
      </w:r>
      <w:r>
        <w:t xml:space="preserve">, and take code block segmentation into account, we get that </w:t>
      </w:r>
    </w:p>
    <w:p w14:paraId="7DFE5D4A" w14:textId="6AB2B17A" w:rsidR="00DC63A1" w:rsidRDefault="008E5D31" w:rsidP="003A4ECF">
      <m:oMathPara>
        <m:oMath>
          <m:sSub>
            <m:sSubPr>
              <m:ctrlPr>
                <w:rPr>
                  <w:rFonts w:ascii="Cambria Math" w:hAnsi="Cambria Math"/>
                  <w:i/>
                </w:rPr>
              </m:ctrlPr>
            </m:sSubPr>
            <m:e>
              <m:r>
                <w:rPr>
                  <w:rFonts w:ascii="Cambria Math" w:hAnsi="Cambria Math"/>
                </w:rPr>
                <m:t>D</m:t>
              </m:r>
            </m:e>
            <m:sub>
              <m:r>
                <w:rPr>
                  <w:rFonts w:ascii="Cambria Math" w:hAnsi="Cambria Math"/>
                </w:rPr>
                <m:t>BG1+BG2</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f>
                    <m:fPr>
                      <m:ctrlPr>
                        <w:rPr>
                          <w:rFonts w:ascii="Cambria Math" w:hAnsi="Cambria Math"/>
                          <w:i/>
                        </w:rPr>
                      </m:ctrlPr>
                    </m:fPr>
                    <m:num>
                      <m:r>
                        <w:rPr>
                          <w:rFonts w:ascii="Cambria Math" w:hAnsi="Cambria Math"/>
                        </w:rPr>
                        <m:t>0.911</m:t>
                      </m:r>
                    </m:num>
                    <m:den>
                      <m:r>
                        <w:rPr>
                          <w:rFonts w:ascii="Cambria Math" w:hAnsi="Cambria Math"/>
                        </w:rPr>
                        <m:t>1.046</m:t>
                      </m:r>
                    </m:den>
                  </m:f>
                  <m:r>
                    <w:rPr>
                      <w:rFonts w:ascii="Cambria Math" w:hAnsi="Cambria Math"/>
                    </w:rPr>
                    <m:t xml:space="preserve"> D</m:t>
                  </m:r>
                </m:e>
                <m:sub>
                  <m:r>
                    <w:rPr>
                      <w:rFonts w:ascii="Cambria Math" w:hAnsi="Cambria Math"/>
                    </w:rPr>
                    <m:t>BG2</m:t>
                  </m:r>
                </m:sub>
              </m:sSub>
              <m:r>
                <w:rPr>
                  <w:rFonts w:ascii="Cambria Math" w:hAnsi="Cambria Math"/>
                </w:rPr>
                <m:t>+</m:t>
              </m:r>
              <m:f>
                <m:fPr>
                  <m:ctrlPr>
                    <w:rPr>
                      <w:rFonts w:ascii="Cambria Math" w:hAnsi="Cambria Math"/>
                      <w:i/>
                    </w:rPr>
                  </m:ctrlPr>
                </m:fPr>
                <m:num>
                  <m:r>
                    <w:rPr>
                      <w:rFonts w:ascii="Cambria Math" w:hAnsi="Cambria Math"/>
                    </w:rPr>
                    <m:t xml:space="preserve">0.043+2·0.046 </m:t>
                  </m:r>
                </m:num>
                <m:den>
                  <m:r>
                    <w:rPr>
                      <w:rFonts w:ascii="Cambria Math" w:hAnsi="Cambria Math"/>
                    </w:rPr>
                    <m:t>1.046</m:t>
                  </m:r>
                </m:den>
              </m:f>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BG1</m:t>
                  </m:r>
                </m:sub>
              </m:sSub>
              <m:r>
                <w:rPr>
                  <w:rFonts w:ascii="Cambria Math" w:hAnsi="Cambria Math"/>
                </w:rPr>
                <m:t>=</m:t>
              </m:r>
              <m:d>
                <m:dPr>
                  <m:ctrlPr>
                    <w:rPr>
                      <w:rFonts w:ascii="Cambria Math" w:hAnsi="Cambria Math"/>
                      <w:i/>
                    </w:rPr>
                  </m:ctrlPr>
                </m:dPr>
                <m:e>
                  <m:r>
                    <w:rPr>
                      <w:rFonts w:ascii="Cambria Math" w:hAnsi="Cambria Math"/>
                    </w:rPr>
                    <m:t>0.871·</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+0.129</m:t>
                  </m:r>
                </m:e>
              </m:d>
              <m:sSub>
                <m:sSubPr>
                  <m:ctrlPr>
                    <w:rPr>
                      <w:rFonts w:ascii="Cambria Math" w:hAnsi="Cambria Math"/>
                      <w:i/>
                    </w:rPr>
                  </m:ctrlPr>
                </m:sSubPr>
                <m:e>
                  <m:r>
                    <w:rPr>
                      <w:rFonts w:ascii="Cambria Math" w:hAnsi="Cambria Math"/>
                    </w:rPr>
                    <m:t>D</m:t>
                  </m:r>
                </m:e>
                <m:sub>
                  <m:r>
                    <w:rPr>
                      <w:rFonts w:ascii="Cambria Math" w:hAnsi="Cambria Math"/>
                    </w:rPr>
                    <m:t>BG1</m:t>
                  </m:r>
                </m:sub>
              </m:sSub>
              <m:r>
                <w:rPr>
                  <w:rFonts w:ascii="Cambria Math" w:hAnsi="Cambria Math"/>
                </w:rPr>
                <m:t>≈0.35 D</m:t>
              </m:r>
            </m:e>
            <m:sub>
              <m:r>
                <w:rPr>
                  <w:rFonts w:ascii="Cambria Math" w:hAnsi="Cambria Math"/>
                </w:rPr>
                <m:t>BG1</m:t>
              </m:r>
            </m:sub>
          </m:sSub>
        </m:oMath>
      </m:oMathPara>
    </w:p>
    <w:p w14:paraId="058FF0B1" w14:textId="77777777" w:rsidR="00D0742E" w:rsidRDefault="00D0742E" w:rsidP="003A4ECF"/>
    <w:p w14:paraId="6606C972" w14:textId="795BF7D7" w:rsidR="00781F6B" w:rsidRDefault="00781F6B" w:rsidP="003A4ECF">
      <w:r>
        <w:t>For this specific case, this means that th</w:t>
      </w:r>
      <w:r w:rsidR="00861589">
        <w:t>e gNB only needs to provision hardware for approximately 1/3 of the number of decoder instances</w:t>
      </w:r>
      <w:r>
        <w:t xml:space="preserve"> when t</w:t>
      </w:r>
      <w:r w:rsidR="004F4C85">
        <w:t>w</w:t>
      </w:r>
      <w:r>
        <w:t>o base graphs are allowed.</w:t>
      </w:r>
    </w:p>
    <w:p w14:paraId="54DE1FBB" w14:textId="77777777" w:rsidR="00781F6B" w:rsidRPr="003A4ECF" w:rsidRDefault="00781F6B" w:rsidP="003A4ECF"/>
    <w:p w14:paraId="4C928A8B" w14:textId="6797812F" w:rsidR="0072757C" w:rsidRPr="0072757C" w:rsidRDefault="0072757C" w:rsidP="0072757C">
      <w:pPr>
        <w:pStyle w:val="Proposal"/>
        <w:numPr>
          <w:ilvl w:val="0"/>
          <w:numId w:val="18"/>
        </w:numPr>
        <w:tabs>
          <w:tab w:val="clear" w:pos="1701"/>
        </w:tabs>
        <w:ind w:left="1701" w:hanging="1701"/>
        <w:rPr>
          <w:rFonts w:ascii="Arial" w:eastAsia="MS Mincho" w:hAnsi="Arial" w:cs="Arial"/>
        </w:rPr>
      </w:pPr>
      <w:r>
        <w:rPr>
          <w:rFonts w:ascii="Arial" w:eastAsia="MS Mincho" w:hAnsi="Arial" w:cs="Arial"/>
        </w:rPr>
        <w:t xml:space="preserve">The benefits of two base graphs are significant in the uplink, where short information block lengths </w:t>
      </w:r>
      <w:r w:rsidR="003A4ECF">
        <w:rPr>
          <w:rFonts w:ascii="Arial" w:eastAsia="MS Mincho" w:hAnsi="Arial" w:cs="Arial"/>
        </w:rPr>
        <w:t>dominate</w:t>
      </w:r>
      <w:r w:rsidR="00DF3BC7">
        <w:rPr>
          <w:rFonts w:ascii="Arial" w:eastAsia="MS Mincho" w:hAnsi="Arial" w:cs="Arial"/>
        </w:rPr>
        <w:t xml:space="preserve"> in terms of packet count</w:t>
      </w:r>
      <w:r w:rsidRPr="0072757C">
        <w:rPr>
          <w:rFonts w:ascii="Arial" w:eastAsia="MS Mincho" w:hAnsi="Arial" w:cs="Arial"/>
        </w:rPr>
        <w:t>.</w:t>
      </w:r>
    </w:p>
    <w:p w14:paraId="357ED056" w14:textId="5D10FE5D" w:rsidR="004929F1" w:rsidRDefault="00A41E9C" w:rsidP="004929F1">
      <w:r>
        <w:t>Based on this discussion, we propose that two base graphs should be designed for NR data channel. This will significantly reduce the amount of decoder hardware that must be provisioned in a gNB.</w:t>
      </w:r>
    </w:p>
    <w:p w14:paraId="6A472189" w14:textId="77777777" w:rsidR="00A41E9C" w:rsidRDefault="00A41E9C" w:rsidP="004929F1"/>
    <w:p w14:paraId="72A3D769" w14:textId="20F6A1FD" w:rsidR="00A41E9C" w:rsidRPr="00A41E9C" w:rsidRDefault="00482C2C" w:rsidP="00A41E9C">
      <w:pPr>
        <w:pStyle w:val="Proposal"/>
        <w:numPr>
          <w:ilvl w:val="0"/>
          <w:numId w:val="19"/>
        </w:numPr>
        <w:tabs>
          <w:tab w:val="clear" w:pos="1304"/>
        </w:tabs>
        <w:ind w:left="1710" w:hanging="1710"/>
        <w:rPr>
          <w:rFonts w:ascii="Arial" w:hAnsi="Arial" w:cs="Arial"/>
        </w:rPr>
      </w:pPr>
      <w:r>
        <w:rPr>
          <w:rFonts w:ascii="Arial" w:hAnsi="Arial" w:cs="Arial"/>
          <w:lang w:val="en-US"/>
        </w:rPr>
        <w:t xml:space="preserve">Two base graphs should </w:t>
      </w:r>
      <w:r w:rsidR="002F70BE">
        <w:rPr>
          <w:rFonts w:ascii="Arial" w:hAnsi="Arial" w:cs="Arial"/>
          <w:lang w:val="en-US"/>
        </w:rPr>
        <w:t>be used for the NR data channel</w:t>
      </w:r>
      <w:r w:rsidR="00A41E9C" w:rsidRPr="00A41E9C">
        <w:rPr>
          <w:rFonts w:ascii="Arial" w:hAnsi="Arial" w:cs="Arial"/>
          <w:lang w:val="en-US"/>
        </w:rPr>
        <w:t>.</w:t>
      </w:r>
    </w:p>
    <w:p w14:paraId="54BF76CE" w14:textId="77777777" w:rsidR="00A41E9C" w:rsidRPr="004929F1" w:rsidRDefault="00A41E9C" w:rsidP="004929F1"/>
    <w:p w14:paraId="77B198E5" w14:textId="77777777" w:rsidR="00C01F33" w:rsidRPr="00CE0424" w:rsidRDefault="00C01F33" w:rsidP="003A0E41">
      <w:pPr>
        <w:pStyle w:val="Heading1"/>
      </w:pPr>
      <w:r w:rsidRPr="00CE0424">
        <w:t>Conclusion</w:t>
      </w:r>
      <w:r w:rsidR="00AE2FEB">
        <w:t>s</w:t>
      </w:r>
    </w:p>
    <w:p w14:paraId="73437995" w14:textId="77777777" w:rsidR="002451ED" w:rsidRDefault="003A0E41" w:rsidP="008E065E">
      <w:pPr>
        <w:pStyle w:val="BodyText"/>
      </w:pPr>
      <w:r>
        <w:t>In this contribution we made the following ob</w:t>
      </w:r>
      <w:r w:rsidR="004033B5">
        <w:t>s</w:t>
      </w:r>
      <w:r>
        <w:t>ervations</w:t>
      </w:r>
      <w:r w:rsidR="008E065E" w:rsidRPr="00CE0424">
        <w:t>:</w:t>
      </w:r>
    </w:p>
    <w:p w14:paraId="1B5437F6" w14:textId="094161FB" w:rsidR="00957BD1" w:rsidRDefault="00957BD1" w:rsidP="00957BD1">
      <w:pPr>
        <w:pStyle w:val="Proposal"/>
        <w:numPr>
          <w:ilvl w:val="0"/>
          <w:numId w:val="21"/>
        </w:numPr>
        <w:tabs>
          <w:tab w:val="clear" w:pos="1304"/>
          <w:tab w:val="num" w:pos="1701"/>
        </w:tabs>
        <w:ind w:left="1701" w:hanging="1701"/>
        <w:rPr>
          <w:rFonts w:ascii="Arial" w:eastAsia="MS Mincho" w:hAnsi="Arial" w:cs="Arial"/>
        </w:rPr>
      </w:pPr>
      <w:r w:rsidRPr="00A01EF0">
        <w:rPr>
          <w:rFonts w:ascii="Arial" w:eastAsia="MS Mincho" w:hAnsi="Arial" w:cs="Arial"/>
        </w:rPr>
        <w:t xml:space="preserve">Using a properly designed second base graph, the decoding latency </w:t>
      </w:r>
      <w:r>
        <w:rPr>
          <w:rFonts w:ascii="Arial" w:eastAsia="MS Mincho" w:hAnsi="Arial" w:cs="Arial"/>
        </w:rPr>
        <w:t xml:space="preserve">for short information block lengths </w:t>
      </w:r>
      <w:r w:rsidRPr="00A01EF0">
        <w:rPr>
          <w:rFonts w:ascii="Arial" w:eastAsia="MS Mincho" w:hAnsi="Arial" w:cs="Arial"/>
        </w:rPr>
        <w:t>may be reduced by a factor of 4 or more.</w:t>
      </w:r>
    </w:p>
    <w:p w14:paraId="767C3130" w14:textId="155BA9FE" w:rsidR="000E6240" w:rsidRDefault="00DF3BC7" w:rsidP="008E065E">
      <w:pPr>
        <w:pStyle w:val="Proposal"/>
        <w:numPr>
          <w:ilvl w:val="0"/>
          <w:numId w:val="21"/>
        </w:numPr>
        <w:tabs>
          <w:tab w:val="clear" w:pos="1304"/>
          <w:tab w:val="num" w:pos="1701"/>
        </w:tabs>
        <w:ind w:left="1701" w:hanging="1701"/>
        <w:rPr>
          <w:rFonts w:ascii="Arial" w:eastAsia="MS Mincho" w:hAnsi="Arial" w:cs="Arial"/>
        </w:rPr>
      </w:pPr>
      <w:r>
        <w:rPr>
          <w:rFonts w:ascii="Arial" w:eastAsia="MS Mincho" w:hAnsi="Arial" w:cs="Arial"/>
        </w:rPr>
        <w:t>The benefits of two base graphs are significant in the uplink, where short information block lengths dominate in terms of packet count</w:t>
      </w:r>
      <w:bookmarkStart w:id="5" w:name="_GoBack"/>
      <w:bookmarkEnd w:id="5"/>
      <w:r w:rsidR="00957BD1">
        <w:rPr>
          <w:rFonts w:ascii="Arial" w:eastAsia="MS Mincho" w:hAnsi="Arial" w:cs="Arial"/>
        </w:rPr>
        <w:t>.</w:t>
      </w:r>
    </w:p>
    <w:p w14:paraId="7AC5B9C2" w14:textId="77777777" w:rsidR="00957BD1" w:rsidRPr="00957BD1" w:rsidRDefault="00957BD1" w:rsidP="00957BD1">
      <w:pPr>
        <w:pStyle w:val="Proposal"/>
        <w:numPr>
          <w:ilvl w:val="0"/>
          <w:numId w:val="0"/>
        </w:numPr>
        <w:ind w:left="1701"/>
        <w:rPr>
          <w:rFonts w:ascii="Arial" w:eastAsia="MS Mincho" w:hAnsi="Arial" w:cs="Arial"/>
        </w:rPr>
      </w:pPr>
    </w:p>
    <w:p w14:paraId="37BE47E9" w14:textId="5F61834D" w:rsidR="00255E5C" w:rsidRPr="002F70BE" w:rsidRDefault="00E5689D" w:rsidP="002F70BE">
      <w:pPr>
        <w:pStyle w:val="BodyText"/>
      </w:pPr>
      <w:r>
        <w:t xml:space="preserve">Based on the discussion </w:t>
      </w:r>
      <w:r w:rsidR="009C6832">
        <w:t>in this contri</w:t>
      </w:r>
      <w:r w:rsidR="003A0E41">
        <w:t>bution</w:t>
      </w:r>
      <w:r w:rsidR="008E065E" w:rsidRPr="00CE0424">
        <w:t xml:space="preserve"> we propose the following:</w:t>
      </w:r>
    </w:p>
    <w:p w14:paraId="19D97A6E" w14:textId="4F89BBB8" w:rsidR="00255E5C" w:rsidRPr="002F70BE" w:rsidRDefault="002F70BE" w:rsidP="00255E5C">
      <w:pPr>
        <w:pStyle w:val="Proposal"/>
        <w:numPr>
          <w:ilvl w:val="0"/>
          <w:numId w:val="16"/>
        </w:numPr>
        <w:tabs>
          <w:tab w:val="clear" w:pos="1304"/>
        </w:tabs>
        <w:ind w:left="1701" w:hanging="1701"/>
        <w:rPr>
          <w:rFonts w:ascii="Arial" w:hAnsi="Arial" w:cs="Arial"/>
          <w:lang w:val="en-US"/>
        </w:rPr>
      </w:pPr>
      <w:r w:rsidRPr="002F70BE">
        <w:rPr>
          <w:rFonts w:ascii="Arial" w:hAnsi="Arial" w:cs="Arial"/>
          <w:lang w:val="en-US"/>
        </w:rPr>
        <w:t>Two base graphs should be used for the NR data channel</w:t>
      </w:r>
      <w:r w:rsidR="00255E5C" w:rsidRPr="002F70BE">
        <w:rPr>
          <w:rFonts w:ascii="Arial" w:hAnsi="Arial" w:cs="Arial"/>
        </w:rPr>
        <w:t>.</w:t>
      </w:r>
    </w:p>
    <w:p w14:paraId="473A9E0F" w14:textId="77777777" w:rsidR="00255E5C" w:rsidRDefault="00255E5C" w:rsidP="00E5689D">
      <w:pPr>
        <w:pStyle w:val="BodyText"/>
      </w:pPr>
    </w:p>
    <w:p w14:paraId="2ECE85F5" w14:textId="77777777" w:rsidR="00F507D1" w:rsidRPr="00CE0424" w:rsidRDefault="00F507D1" w:rsidP="00CE0424">
      <w:pPr>
        <w:pStyle w:val="Heading1"/>
      </w:pPr>
      <w:bookmarkStart w:id="6" w:name="_In-sequence_SDU_delivery"/>
      <w:bookmarkEnd w:id="6"/>
      <w:r w:rsidRPr="00CE0424">
        <w:t>References</w:t>
      </w:r>
    </w:p>
    <w:p w14:paraId="43F5E00B" w14:textId="77777777" w:rsidR="003A7EF3" w:rsidRDefault="0056061F" w:rsidP="0056061F">
      <w:pPr>
        <w:pStyle w:val="Reference"/>
      </w:pPr>
      <w:bookmarkStart w:id="7" w:name="_Ref476919366"/>
      <w:r w:rsidRPr="0056061F">
        <w:t>RAN1, Chairman’s Notes, 3GPP TSG RAN WG1 Meeting #88, February 2017.</w:t>
      </w:r>
      <w:bookmarkEnd w:id="7"/>
    </w:p>
    <w:p w14:paraId="4AA0F03E" w14:textId="77777777" w:rsidR="00E66537" w:rsidRPr="00293681" w:rsidRDefault="00E66537" w:rsidP="0056061F">
      <w:pPr>
        <w:pStyle w:val="Reference"/>
      </w:pPr>
      <w:bookmarkStart w:id="8" w:name="_Ref477952318"/>
      <w:r w:rsidRPr="00F4403C">
        <w:rPr>
          <w:lang w:val="de-DE"/>
        </w:rPr>
        <w:t>R1-</w:t>
      </w:r>
      <w:r>
        <w:rPr>
          <w:lang w:val="de-DE"/>
        </w:rPr>
        <w:t xml:space="preserve">1611710, </w:t>
      </w:r>
      <w:r>
        <w:rPr>
          <w:rFonts w:cs="Arial"/>
        </w:rPr>
        <w:t>DL and UL Packet Sizes Supported by Channel Coding Candidates, Ericsson, November 2016.</w:t>
      </w:r>
      <w:bookmarkEnd w:id="8"/>
    </w:p>
    <w:p w14:paraId="1B2D6A18" w14:textId="77777777" w:rsidR="00293681" w:rsidRPr="00CE0424" w:rsidRDefault="00293681" w:rsidP="0056061F">
      <w:pPr>
        <w:pStyle w:val="Reference"/>
      </w:pPr>
      <w:bookmarkStart w:id="9" w:name="_Ref477959693"/>
      <w:r w:rsidRPr="00293681">
        <w:t>R1-1704314</w:t>
      </w:r>
      <w:r>
        <w:t xml:space="preserve">, </w:t>
      </w:r>
      <w:r w:rsidRPr="00293681">
        <w:t>LDPC Code Design for eMBB</w:t>
      </w:r>
      <w:r>
        <w:t>, Ericsson, April 2017.</w:t>
      </w:r>
      <w:bookmarkEnd w:id="9"/>
    </w:p>
    <w:sectPr w:rsidR="00293681" w:rsidRPr="00CE04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A22B2" w14:textId="77777777" w:rsidR="008E5D31" w:rsidRDefault="008E5D31">
      <w:r>
        <w:separator/>
      </w:r>
    </w:p>
  </w:endnote>
  <w:endnote w:type="continuationSeparator" w:id="0">
    <w:p w14:paraId="06688AE2" w14:textId="77777777" w:rsidR="008E5D31" w:rsidRDefault="008E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BD470" w14:textId="0678A9F9" w:rsidR="005A6C52" w:rsidRDefault="005A6C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3BC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3BC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8DA3D" w14:textId="77777777" w:rsidR="008E5D31" w:rsidRDefault="008E5D31">
      <w:r>
        <w:separator/>
      </w:r>
    </w:p>
  </w:footnote>
  <w:footnote w:type="continuationSeparator" w:id="0">
    <w:p w14:paraId="4637DD25" w14:textId="77777777" w:rsidR="008E5D31" w:rsidRDefault="008E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11B23" w14:textId="77777777" w:rsidR="005A6C52" w:rsidRDefault="005A6C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F96F57"/>
    <w:multiLevelType w:val="hybridMultilevel"/>
    <w:tmpl w:val="B7ACE194"/>
    <w:lvl w:ilvl="0" w:tplc="85360A48">
      <w:start w:val="1"/>
      <w:numFmt w:val="decimal"/>
      <w:lvlText w:val="Observation %1"/>
      <w:lvlJc w:val="left"/>
      <w:pPr>
        <w:tabs>
          <w:tab w:val="num" w:pos="1304"/>
        </w:tabs>
        <w:ind w:left="1304" w:hanging="1304"/>
      </w:pPr>
      <w:rPr>
        <w:rFonts w:hint="default"/>
        <w:lang w:val="en-GB"/>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0A561D"/>
    <w:multiLevelType w:val="hybridMultilevel"/>
    <w:tmpl w:val="B7ACE194"/>
    <w:lvl w:ilvl="0" w:tplc="85360A48">
      <w:start w:val="1"/>
      <w:numFmt w:val="decimal"/>
      <w:lvlText w:val="Observation %1"/>
      <w:lvlJc w:val="left"/>
      <w:pPr>
        <w:tabs>
          <w:tab w:val="num" w:pos="1304"/>
        </w:tabs>
        <w:ind w:left="1304" w:hanging="1304"/>
      </w:pPr>
      <w:rPr>
        <w:rFonts w:hint="default"/>
        <w:lang w:val="en-GB"/>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3"/>
  </w:num>
  <w:num w:numId="3">
    <w:abstractNumId w:val="8"/>
  </w:num>
  <w:num w:numId="4">
    <w:abstractNumId w:val="9"/>
  </w:num>
  <w:num w:numId="5">
    <w:abstractNumId w:val="5"/>
  </w:num>
  <w:num w:numId="6">
    <w:abstractNumId w:val="10"/>
  </w:num>
  <w:num w:numId="7">
    <w:abstractNumId w:val="16"/>
  </w:num>
  <w:num w:numId="8">
    <w:abstractNumId w:val="6"/>
  </w:num>
  <w:num w:numId="9">
    <w:abstractNumId w:val="4"/>
  </w:num>
  <w:num w:numId="10">
    <w:abstractNumId w:val="2"/>
  </w:num>
  <w:num w:numId="11">
    <w:abstractNumId w:val="1"/>
  </w:num>
  <w:num w:numId="12">
    <w:abstractNumId w:val="0"/>
  </w:num>
  <w:num w:numId="13">
    <w:abstractNumId w:val="15"/>
  </w:num>
  <w:num w:numId="14">
    <w:abstractNumId w:val="7"/>
  </w:num>
  <w:num w:numId="15">
    <w:abstractNumId w:val="18"/>
  </w:num>
  <w:num w:numId="16">
    <w:abstractNumId w:val="8"/>
    <w:lvlOverride w:ilvl="0">
      <w:startOverride w:val="1"/>
    </w:lvlOverride>
  </w:num>
  <w:num w:numId="17">
    <w:abstractNumId w:val="12"/>
  </w:num>
  <w:num w:numId="18">
    <w:abstractNumId w:val="17"/>
  </w:num>
  <w:num w:numId="19">
    <w:abstractNumId w:val="8"/>
    <w:lvlOverride w:ilvl="0">
      <w:startOverride w:val="1"/>
    </w:lvlOverride>
  </w:num>
  <w:num w:numId="20">
    <w:abstractNumId w:val="14"/>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8B"/>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66FAB"/>
    <w:rsid w:val="00077E5F"/>
    <w:rsid w:val="0008036A"/>
    <w:rsid w:val="00081AE6"/>
    <w:rsid w:val="000855EB"/>
    <w:rsid w:val="00085B52"/>
    <w:rsid w:val="000866F2"/>
    <w:rsid w:val="0009009F"/>
    <w:rsid w:val="00091557"/>
    <w:rsid w:val="000924C1"/>
    <w:rsid w:val="000924F0"/>
    <w:rsid w:val="00093474"/>
    <w:rsid w:val="0009510F"/>
    <w:rsid w:val="000A1B7B"/>
    <w:rsid w:val="000A4CC5"/>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39D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8143F"/>
    <w:rsid w:val="00181EF3"/>
    <w:rsid w:val="00190AC1"/>
    <w:rsid w:val="0019341A"/>
    <w:rsid w:val="00197DF9"/>
    <w:rsid w:val="001A1987"/>
    <w:rsid w:val="001A2564"/>
    <w:rsid w:val="001A6173"/>
    <w:rsid w:val="001A6CBA"/>
    <w:rsid w:val="001B0D97"/>
    <w:rsid w:val="001B5A5D"/>
    <w:rsid w:val="001C1CE5"/>
    <w:rsid w:val="001C3BAB"/>
    <w:rsid w:val="001C3D2A"/>
    <w:rsid w:val="001C72C2"/>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75E9"/>
    <w:rsid w:val="002500C8"/>
    <w:rsid w:val="00255E5C"/>
    <w:rsid w:val="00257543"/>
    <w:rsid w:val="002617E7"/>
    <w:rsid w:val="00264228"/>
    <w:rsid w:val="00264334"/>
    <w:rsid w:val="0026473E"/>
    <w:rsid w:val="00266214"/>
    <w:rsid w:val="00267C83"/>
    <w:rsid w:val="0027144F"/>
    <w:rsid w:val="00271813"/>
    <w:rsid w:val="00271F3A"/>
    <w:rsid w:val="00273278"/>
    <w:rsid w:val="002737F4"/>
    <w:rsid w:val="00273F05"/>
    <w:rsid w:val="002805F5"/>
    <w:rsid w:val="00280751"/>
    <w:rsid w:val="0028280A"/>
    <w:rsid w:val="00286ACD"/>
    <w:rsid w:val="00286E21"/>
    <w:rsid w:val="00287838"/>
    <w:rsid w:val="002907B5"/>
    <w:rsid w:val="00292EB7"/>
    <w:rsid w:val="00293681"/>
    <w:rsid w:val="00296227"/>
    <w:rsid w:val="00296F44"/>
    <w:rsid w:val="0029777D"/>
    <w:rsid w:val="002A055E"/>
    <w:rsid w:val="002A1D4E"/>
    <w:rsid w:val="002A2869"/>
    <w:rsid w:val="002B24D6"/>
    <w:rsid w:val="002C41E6"/>
    <w:rsid w:val="002D071A"/>
    <w:rsid w:val="002D1F89"/>
    <w:rsid w:val="002D34B2"/>
    <w:rsid w:val="002D7637"/>
    <w:rsid w:val="002E17F2"/>
    <w:rsid w:val="002E7CAE"/>
    <w:rsid w:val="002F2771"/>
    <w:rsid w:val="002F37A9"/>
    <w:rsid w:val="002F6288"/>
    <w:rsid w:val="002F70BE"/>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976F1"/>
    <w:rsid w:val="003A0E41"/>
    <w:rsid w:val="003A2223"/>
    <w:rsid w:val="003A2A0F"/>
    <w:rsid w:val="003A45A1"/>
    <w:rsid w:val="003A4ECF"/>
    <w:rsid w:val="003A5B0A"/>
    <w:rsid w:val="003A6BAC"/>
    <w:rsid w:val="003A7EF3"/>
    <w:rsid w:val="003B159C"/>
    <w:rsid w:val="003B369F"/>
    <w:rsid w:val="003B36A3"/>
    <w:rsid w:val="003B7FE5"/>
    <w:rsid w:val="003C11C8"/>
    <w:rsid w:val="003C2702"/>
    <w:rsid w:val="003C7806"/>
    <w:rsid w:val="003D0FE5"/>
    <w:rsid w:val="003D109F"/>
    <w:rsid w:val="003D2478"/>
    <w:rsid w:val="003D3C45"/>
    <w:rsid w:val="003D5B1F"/>
    <w:rsid w:val="003E15FA"/>
    <w:rsid w:val="003E55E4"/>
    <w:rsid w:val="003E74E3"/>
    <w:rsid w:val="003F05C7"/>
    <w:rsid w:val="003F2CD4"/>
    <w:rsid w:val="003F6BBE"/>
    <w:rsid w:val="004000E8"/>
    <w:rsid w:val="00401E3C"/>
    <w:rsid w:val="00402E2B"/>
    <w:rsid w:val="004033B5"/>
    <w:rsid w:val="004050EA"/>
    <w:rsid w:val="0040512B"/>
    <w:rsid w:val="00405CA5"/>
    <w:rsid w:val="00407CD3"/>
    <w:rsid w:val="00410134"/>
    <w:rsid w:val="00410B72"/>
    <w:rsid w:val="00410F18"/>
    <w:rsid w:val="0041263E"/>
    <w:rsid w:val="0041287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82C2C"/>
    <w:rsid w:val="004929F1"/>
    <w:rsid w:val="00492BC5"/>
    <w:rsid w:val="004964F1"/>
    <w:rsid w:val="004A16BC"/>
    <w:rsid w:val="004A2B94"/>
    <w:rsid w:val="004B7C0C"/>
    <w:rsid w:val="004C3898"/>
    <w:rsid w:val="004D26F7"/>
    <w:rsid w:val="004D36B1"/>
    <w:rsid w:val="004D7EBD"/>
    <w:rsid w:val="004E2680"/>
    <w:rsid w:val="004E28F9"/>
    <w:rsid w:val="004E462E"/>
    <w:rsid w:val="004E56DC"/>
    <w:rsid w:val="004E76F4"/>
    <w:rsid w:val="004F0B4E"/>
    <w:rsid w:val="004F0B6C"/>
    <w:rsid w:val="004F2078"/>
    <w:rsid w:val="004F4C85"/>
    <w:rsid w:val="004F4DA3"/>
    <w:rsid w:val="00506557"/>
    <w:rsid w:val="0050677A"/>
    <w:rsid w:val="005108D8"/>
    <w:rsid w:val="005116F9"/>
    <w:rsid w:val="005153A7"/>
    <w:rsid w:val="005219CF"/>
    <w:rsid w:val="00534B59"/>
    <w:rsid w:val="00536759"/>
    <w:rsid w:val="00537C62"/>
    <w:rsid w:val="00546970"/>
    <w:rsid w:val="00554192"/>
    <w:rsid w:val="00554E19"/>
    <w:rsid w:val="0056061F"/>
    <w:rsid w:val="0056121F"/>
    <w:rsid w:val="00572505"/>
    <w:rsid w:val="00575DA6"/>
    <w:rsid w:val="00582809"/>
    <w:rsid w:val="0058798C"/>
    <w:rsid w:val="005900FA"/>
    <w:rsid w:val="005935A4"/>
    <w:rsid w:val="005948C2"/>
    <w:rsid w:val="00595DCA"/>
    <w:rsid w:val="0059779B"/>
    <w:rsid w:val="005A209A"/>
    <w:rsid w:val="005A662D"/>
    <w:rsid w:val="005A6C52"/>
    <w:rsid w:val="005B35D7"/>
    <w:rsid w:val="005B392A"/>
    <w:rsid w:val="005B3A32"/>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EA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37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4C5"/>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57C"/>
    <w:rsid w:val="00727680"/>
    <w:rsid w:val="007348B1"/>
    <w:rsid w:val="007362A6"/>
    <w:rsid w:val="00736D7D"/>
    <w:rsid w:val="00740E58"/>
    <w:rsid w:val="007445A0"/>
    <w:rsid w:val="0074524B"/>
    <w:rsid w:val="007463F9"/>
    <w:rsid w:val="00747D8B"/>
    <w:rsid w:val="00751228"/>
    <w:rsid w:val="007571E1"/>
    <w:rsid w:val="007604B2"/>
    <w:rsid w:val="00765281"/>
    <w:rsid w:val="00766BAD"/>
    <w:rsid w:val="00770766"/>
    <w:rsid w:val="007755F2"/>
    <w:rsid w:val="00776971"/>
    <w:rsid w:val="00777D37"/>
    <w:rsid w:val="0078177E"/>
    <w:rsid w:val="00781F6B"/>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B59"/>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5A5B"/>
    <w:rsid w:val="00817196"/>
    <w:rsid w:val="008235DB"/>
    <w:rsid w:val="00824AB4"/>
    <w:rsid w:val="00825C42"/>
    <w:rsid w:val="00825D25"/>
    <w:rsid w:val="00827D6F"/>
    <w:rsid w:val="008376AC"/>
    <w:rsid w:val="008444E8"/>
    <w:rsid w:val="00844E80"/>
    <w:rsid w:val="00846FE7"/>
    <w:rsid w:val="00856911"/>
    <w:rsid w:val="00861589"/>
    <w:rsid w:val="008646CC"/>
    <w:rsid w:val="00864EB4"/>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405"/>
    <w:rsid w:val="008C4958"/>
    <w:rsid w:val="008C4BAA"/>
    <w:rsid w:val="008C6AE8"/>
    <w:rsid w:val="008C7573"/>
    <w:rsid w:val="008D34F1"/>
    <w:rsid w:val="008D39D8"/>
    <w:rsid w:val="008D6D1A"/>
    <w:rsid w:val="008E065E"/>
    <w:rsid w:val="008E0927"/>
    <w:rsid w:val="008E1909"/>
    <w:rsid w:val="008E5D31"/>
    <w:rsid w:val="008F1EAB"/>
    <w:rsid w:val="008F33DC"/>
    <w:rsid w:val="008F477F"/>
    <w:rsid w:val="008F4A7C"/>
    <w:rsid w:val="00900213"/>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56F"/>
    <w:rsid w:val="00941636"/>
    <w:rsid w:val="00943742"/>
    <w:rsid w:val="00945C05"/>
    <w:rsid w:val="00946945"/>
    <w:rsid w:val="00947713"/>
    <w:rsid w:val="00950DE7"/>
    <w:rsid w:val="00952A24"/>
    <w:rsid w:val="00953920"/>
    <w:rsid w:val="00953D47"/>
    <w:rsid w:val="0095681E"/>
    <w:rsid w:val="009572D4"/>
    <w:rsid w:val="00957BD1"/>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7672"/>
    <w:rsid w:val="009F08F3"/>
    <w:rsid w:val="009F344F"/>
    <w:rsid w:val="00A01EF0"/>
    <w:rsid w:val="00A031D8"/>
    <w:rsid w:val="00A0408A"/>
    <w:rsid w:val="00A048A8"/>
    <w:rsid w:val="00A04F49"/>
    <w:rsid w:val="00A13E54"/>
    <w:rsid w:val="00A15745"/>
    <w:rsid w:val="00A17F63"/>
    <w:rsid w:val="00A2193B"/>
    <w:rsid w:val="00A2351A"/>
    <w:rsid w:val="00A264A9"/>
    <w:rsid w:val="00A27785"/>
    <w:rsid w:val="00A30187"/>
    <w:rsid w:val="00A3448A"/>
    <w:rsid w:val="00A36297"/>
    <w:rsid w:val="00A41E2B"/>
    <w:rsid w:val="00A41E9C"/>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2F2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6E63"/>
    <w:rsid w:val="00AF1C5D"/>
    <w:rsid w:val="00AF42D7"/>
    <w:rsid w:val="00B006FE"/>
    <w:rsid w:val="00B007CB"/>
    <w:rsid w:val="00B02AA9"/>
    <w:rsid w:val="00B02FA3"/>
    <w:rsid w:val="00B03374"/>
    <w:rsid w:val="00B05084"/>
    <w:rsid w:val="00B157F9"/>
    <w:rsid w:val="00B20256"/>
    <w:rsid w:val="00B20D09"/>
    <w:rsid w:val="00B2536A"/>
    <w:rsid w:val="00B2763F"/>
    <w:rsid w:val="00B27AAC"/>
    <w:rsid w:val="00B30929"/>
    <w:rsid w:val="00B372AA"/>
    <w:rsid w:val="00B40445"/>
    <w:rsid w:val="00B41888"/>
    <w:rsid w:val="00B45A52"/>
    <w:rsid w:val="00B46175"/>
    <w:rsid w:val="00B54CF0"/>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B71EC"/>
    <w:rsid w:val="00BC0FDC"/>
    <w:rsid w:val="00BC3053"/>
    <w:rsid w:val="00BC4D2E"/>
    <w:rsid w:val="00BD3DC9"/>
    <w:rsid w:val="00BD48AC"/>
    <w:rsid w:val="00BD5F1A"/>
    <w:rsid w:val="00BE1234"/>
    <w:rsid w:val="00BE2FA6"/>
    <w:rsid w:val="00BE333F"/>
    <w:rsid w:val="00BE7406"/>
    <w:rsid w:val="00BE7603"/>
    <w:rsid w:val="00BE76BE"/>
    <w:rsid w:val="00BF3279"/>
    <w:rsid w:val="00BF74C7"/>
    <w:rsid w:val="00BF7642"/>
    <w:rsid w:val="00C015F1"/>
    <w:rsid w:val="00C01F33"/>
    <w:rsid w:val="00C02A4C"/>
    <w:rsid w:val="00C02CC6"/>
    <w:rsid w:val="00C040F7"/>
    <w:rsid w:val="00C044AB"/>
    <w:rsid w:val="00C05706"/>
    <w:rsid w:val="00C07377"/>
    <w:rsid w:val="00C10478"/>
    <w:rsid w:val="00C104E7"/>
    <w:rsid w:val="00C12107"/>
    <w:rsid w:val="00C14D4B"/>
    <w:rsid w:val="00C150B5"/>
    <w:rsid w:val="00C154BB"/>
    <w:rsid w:val="00C279B5"/>
    <w:rsid w:val="00C27C45"/>
    <w:rsid w:val="00C31087"/>
    <w:rsid w:val="00C3719D"/>
    <w:rsid w:val="00C54995"/>
    <w:rsid w:val="00C54D41"/>
    <w:rsid w:val="00C57D0A"/>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0742E"/>
    <w:rsid w:val="00D10249"/>
    <w:rsid w:val="00D115C3"/>
    <w:rsid w:val="00D11897"/>
    <w:rsid w:val="00D11EC4"/>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045"/>
    <w:rsid w:val="00DC2D36"/>
    <w:rsid w:val="00DC53EF"/>
    <w:rsid w:val="00DC63A1"/>
    <w:rsid w:val="00DC7981"/>
    <w:rsid w:val="00DE5608"/>
    <w:rsid w:val="00DE58D0"/>
    <w:rsid w:val="00DE5902"/>
    <w:rsid w:val="00DE654F"/>
    <w:rsid w:val="00DF0B6E"/>
    <w:rsid w:val="00DF15E0"/>
    <w:rsid w:val="00DF37A0"/>
    <w:rsid w:val="00DF3BC7"/>
    <w:rsid w:val="00E110E7"/>
    <w:rsid w:val="00E11B20"/>
    <w:rsid w:val="00E17CE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8AE"/>
    <w:rsid w:val="00E478B5"/>
    <w:rsid w:val="00E47AEF"/>
    <w:rsid w:val="00E53B75"/>
    <w:rsid w:val="00E54E3B"/>
    <w:rsid w:val="00E5689D"/>
    <w:rsid w:val="00E57565"/>
    <w:rsid w:val="00E61C01"/>
    <w:rsid w:val="00E6324F"/>
    <w:rsid w:val="00E63838"/>
    <w:rsid w:val="00E64434"/>
    <w:rsid w:val="00E66537"/>
    <w:rsid w:val="00E67C51"/>
    <w:rsid w:val="00E71FBD"/>
    <w:rsid w:val="00E72EFC"/>
    <w:rsid w:val="00E758EC"/>
    <w:rsid w:val="00E8234C"/>
    <w:rsid w:val="00E83AA9"/>
    <w:rsid w:val="00E85928"/>
    <w:rsid w:val="00E86C59"/>
    <w:rsid w:val="00E87822"/>
    <w:rsid w:val="00E90395"/>
    <w:rsid w:val="00E90E49"/>
    <w:rsid w:val="00E917F9"/>
    <w:rsid w:val="00E9291C"/>
    <w:rsid w:val="00E93FFE"/>
    <w:rsid w:val="00E94F8A"/>
    <w:rsid w:val="00EA1BC3"/>
    <w:rsid w:val="00EA4B16"/>
    <w:rsid w:val="00EA7A41"/>
    <w:rsid w:val="00EB077B"/>
    <w:rsid w:val="00EB4EA2"/>
    <w:rsid w:val="00EB78BF"/>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3A16"/>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F61"/>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BD5"/>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9898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86E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088323">
      <w:bodyDiv w:val="1"/>
      <w:marLeft w:val="0"/>
      <w:marRight w:val="0"/>
      <w:marTop w:val="0"/>
      <w:marBottom w:val="0"/>
      <w:divBdr>
        <w:top w:val="none" w:sz="0" w:space="0" w:color="auto"/>
        <w:left w:val="none" w:sz="0" w:space="0" w:color="auto"/>
        <w:bottom w:val="none" w:sz="0" w:space="0" w:color="auto"/>
        <w:right w:val="none" w:sz="0" w:space="0" w:color="auto"/>
      </w:divBdr>
      <w:divsChild>
        <w:div w:id="619144124">
          <w:marLeft w:val="0"/>
          <w:marRight w:val="0"/>
          <w:marTop w:val="0"/>
          <w:marBottom w:val="0"/>
          <w:divBdr>
            <w:top w:val="none" w:sz="0" w:space="0" w:color="auto"/>
            <w:left w:val="none" w:sz="0" w:space="0" w:color="auto"/>
            <w:bottom w:val="none" w:sz="0" w:space="0" w:color="auto"/>
            <w:right w:val="none" w:sz="0" w:space="0" w:color="auto"/>
          </w:divBdr>
          <w:divsChild>
            <w:div w:id="4027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79E1-4961-4AF9-ABEA-DAF89BFF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40</TotalTime>
  <Pages>4</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12</cp:revision>
  <cp:lastPrinted>2008-01-31T15:09:00Z</cp:lastPrinted>
  <dcterms:created xsi:type="dcterms:W3CDTF">2017-03-23T18:57:00Z</dcterms:created>
  <dcterms:modified xsi:type="dcterms:W3CDTF">2017-03-25T02:43:00Z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